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9B0C6" w14:textId="7A2E72CA" w:rsidR="00C22F2C" w:rsidRDefault="00955DE5" w:rsidP="0057466C">
      <w:pPr>
        <w:rPr>
          <w:rFonts w:asciiTheme="minorHAnsi" w:hAnsiTheme="minorHAnsi" w:cstheme="minorHAnsi"/>
          <w:b/>
          <w:bCs/>
          <w:sz w:val="32"/>
          <w:szCs w:val="32"/>
        </w:rPr>
      </w:pPr>
      <w:r>
        <w:rPr>
          <w:rFonts w:asciiTheme="minorHAnsi" w:hAnsiTheme="minorHAnsi" w:cstheme="minorHAnsi"/>
          <w:b/>
          <w:bCs/>
          <w:sz w:val="32"/>
          <w:szCs w:val="32"/>
        </w:rPr>
        <w:t>Guidance</w:t>
      </w:r>
      <w:r w:rsidR="0032457F" w:rsidRPr="00627EB2">
        <w:rPr>
          <w:rFonts w:asciiTheme="minorHAnsi" w:hAnsiTheme="minorHAnsi" w:cstheme="minorHAnsi"/>
          <w:b/>
          <w:bCs/>
          <w:sz w:val="32"/>
          <w:szCs w:val="32"/>
        </w:rPr>
        <w:t xml:space="preserve"> </w:t>
      </w:r>
      <w:r w:rsidR="00AD3EBC">
        <w:rPr>
          <w:rFonts w:asciiTheme="minorHAnsi" w:hAnsiTheme="minorHAnsi" w:cstheme="minorHAnsi"/>
          <w:b/>
          <w:bCs/>
          <w:sz w:val="32"/>
          <w:szCs w:val="32"/>
        </w:rPr>
        <w:t>on</w:t>
      </w:r>
      <w:r w:rsidR="0032457F" w:rsidRPr="00627EB2">
        <w:rPr>
          <w:rFonts w:asciiTheme="minorHAnsi" w:hAnsiTheme="minorHAnsi" w:cstheme="minorHAnsi"/>
          <w:b/>
          <w:bCs/>
          <w:sz w:val="32"/>
          <w:szCs w:val="32"/>
        </w:rPr>
        <w:t xml:space="preserve"> independent living</w:t>
      </w:r>
    </w:p>
    <w:p w14:paraId="78C09CD5" w14:textId="77777777" w:rsidR="00AE7D02" w:rsidRDefault="00AE7D02" w:rsidP="00AE7D02">
      <w:pPr>
        <w:pStyle w:val="NoSpacing"/>
        <w:rPr>
          <w:rFonts w:asciiTheme="minorHAnsi" w:hAnsiTheme="minorHAnsi" w:cstheme="minorHAnsi"/>
        </w:rPr>
      </w:pPr>
      <w:r>
        <w:rPr>
          <w:rFonts w:asciiTheme="minorHAnsi" w:hAnsiTheme="minorHAnsi" w:cstheme="minorHAnsi"/>
        </w:rPr>
        <w:t xml:space="preserve">The Almshouse Association </w:t>
      </w:r>
      <w:r w:rsidRPr="00BE2BAA">
        <w:rPr>
          <w:rFonts w:asciiTheme="minorHAnsi" w:hAnsiTheme="minorHAnsi" w:cstheme="minorHAnsi"/>
        </w:rPr>
        <w:t>receives</w:t>
      </w:r>
      <w:r>
        <w:rPr>
          <w:rFonts w:asciiTheme="minorHAnsi" w:hAnsiTheme="minorHAnsi" w:cstheme="minorHAnsi"/>
        </w:rPr>
        <w:t xml:space="preserve"> </w:t>
      </w:r>
      <w:r w:rsidRPr="00BE2BAA">
        <w:rPr>
          <w:rFonts w:asciiTheme="minorHAnsi" w:hAnsiTheme="minorHAnsi" w:cstheme="minorHAnsi"/>
        </w:rPr>
        <w:t>enquiries from its member almshouse charities</w:t>
      </w:r>
      <w:r>
        <w:rPr>
          <w:rFonts w:asciiTheme="minorHAnsi" w:hAnsiTheme="minorHAnsi" w:cstheme="minorHAnsi"/>
        </w:rPr>
        <w:t xml:space="preserve"> on occasions</w:t>
      </w:r>
      <w:r w:rsidRPr="00BE2BAA">
        <w:rPr>
          <w:rFonts w:asciiTheme="minorHAnsi" w:hAnsiTheme="minorHAnsi" w:cstheme="minorHAnsi"/>
        </w:rPr>
        <w:t xml:space="preserve"> concerning residents who no longer appear to be able to live independently for reasons of failing health, age and infirmity. </w:t>
      </w:r>
      <w:r>
        <w:rPr>
          <w:rFonts w:asciiTheme="minorHAnsi" w:hAnsiTheme="minorHAnsi" w:cstheme="minorHAnsi"/>
        </w:rPr>
        <w:t xml:space="preserve">Circumstances vary, of course, from one situation to another and whether affected residents have relatives or friends who can give their support and/or the extent to which the charity provides extra care facilities. The advice given in this paper is therefore essentially of a </w:t>
      </w:r>
      <w:r>
        <w:rPr>
          <w:rFonts w:asciiTheme="minorHAnsi" w:hAnsiTheme="minorHAnsi" w:cstheme="minorHAnsi"/>
          <w:i/>
          <w:iCs/>
        </w:rPr>
        <w:t xml:space="preserve">general </w:t>
      </w:r>
      <w:r>
        <w:rPr>
          <w:rFonts w:asciiTheme="minorHAnsi" w:hAnsiTheme="minorHAnsi" w:cstheme="minorHAnsi"/>
        </w:rPr>
        <w:t xml:space="preserve">nature and may need to be adapted as appropriate. It is important, however, that Trustees establish a policy that they agree unanimously, covering the measures that will be taken before issues arise. The policy should be used to assist the charity in identifying when the time has come for discussions to be had with a resident about their being moved on to more suitable accommodation where their needs can be catered for. </w:t>
      </w:r>
    </w:p>
    <w:p w14:paraId="104D9B68" w14:textId="77777777" w:rsidR="00AE7D02" w:rsidRDefault="00AE7D02" w:rsidP="00AE7D02">
      <w:pPr>
        <w:pStyle w:val="NoSpacing"/>
        <w:rPr>
          <w:rFonts w:asciiTheme="minorHAnsi" w:hAnsiTheme="minorHAnsi" w:cstheme="minorHAnsi"/>
        </w:rPr>
      </w:pPr>
    </w:p>
    <w:p w14:paraId="0C4F9A5C" w14:textId="02CEB084" w:rsidR="00AE7D02" w:rsidRPr="00BE2BAA" w:rsidRDefault="00AE7D02" w:rsidP="00AE7D02">
      <w:pPr>
        <w:pStyle w:val="NoSpacing"/>
        <w:rPr>
          <w:rFonts w:asciiTheme="minorHAnsi" w:hAnsiTheme="minorHAnsi" w:cstheme="minorHAnsi"/>
        </w:rPr>
      </w:pPr>
      <w:r>
        <w:rPr>
          <w:rFonts w:asciiTheme="minorHAnsi" w:hAnsiTheme="minorHAnsi" w:cstheme="minorHAnsi"/>
        </w:rPr>
        <w:t xml:space="preserve">This policy should be shared when appointing new residents and, prior to signing a Letter of Appointment, charities should make clear to them that almshouses are for those who are able to live independently and that should this cease to be the case, residents would need to move on to another, more suitable form of accommodation. It is essential that this point is included in the Letter of Appointment, a template of which may be downloaded from </w:t>
      </w:r>
      <w:r w:rsidR="00AD0414">
        <w:rPr>
          <w:rFonts w:asciiTheme="minorHAnsi" w:hAnsiTheme="minorHAnsi" w:cstheme="minorHAnsi"/>
        </w:rPr>
        <w:t>T</w:t>
      </w:r>
      <w:r>
        <w:rPr>
          <w:rFonts w:asciiTheme="minorHAnsi" w:hAnsiTheme="minorHAnsi" w:cstheme="minorHAnsi"/>
        </w:rPr>
        <w:t>he Almshouse Association’s website.</w:t>
      </w:r>
    </w:p>
    <w:p w14:paraId="64E16A06" w14:textId="77777777" w:rsidR="00AE7D02" w:rsidRPr="00BE2BAA" w:rsidRDefault="00AE7D02" w:rsidP="00AE7D02">
      <w:pPr>
        <w:pStyle w:val="NoSpacing"/>
        <w:rPr>
          <w:rFonts w:asciiTheme="minorHAnsi" w:hAnsiTheme="minorHAnsi" w:cstheme="minorHAnsi"/>
        </w:rPr>
      </w:pPr>
    </w:p>
    <w:p w14:paraId="36AD67A2" w14:textId="77777777" w:rsidR="00AE7D02" w:rsidRDefault="00AE7D02" w:rsidP="00AE7D02">
      <w:pPr>
        <w:pStyle w:val="NoSpacing"/>
        <w:rPr>
          <w:rFonts w:asciiTheme="minorHAnsi" w:hAnsiTheme="minorHAnsi" w:cstheme="minorHAnsi"/>
        </w:rPr>
      </w:pPr>
      <w:r w:rsidRPr="00BE2BAA">
        <w:rPr>
          <w:rFonts w:asciiTheme="minorHAnsi" w:hAnsiTheme="minorHAnsi" w:cstheme="minorHAnsi"/>
        </w:rPr>
        <w:t xml:space="preserve">In order to provide </w:t>
      </w:r>
      <w:r>
        <w:rPr>
          <w:rFonts w:asciiTheme="minorHAnsi" w:hAnsiTheme="minorHAnsi" w:cstheme="minorHAnsi"/>
        </w:rPr>
        <w:t>further</w:t>
      </w:r>
      <w:r w:rsidRPr="00BE2BAA">
        <w:rPr>
          <w:rFonts w:asciiTheme="minorHAnsi" w:hAnsiTheme="minorHAnsi" w:cstheme="minorHAnsi"/>
        </w:rPr>
        <w:t xml:space="preserve"> guidance in the matter, the Association has</w:t>
      </w:r>
      <w:r>
        <w:rPr>
          <w:rFonts w:asciiTheme="minorHAnsi" w:hAnsiTheme="minorHAnsi" w:cstheme="minorHAnsi"/>
        </w:rPr>
        <w:t xml:space="preserve"> issued the following template policy </w:t>
      </w:r>
      <w:r w:rsidRPr="00BE2BAA">
        <w:rPr>
          <w:rFonts w:asciiTheme="minorHAnsi" w:hAnsiTheme="minorHAnsi" w:cstheme="minorHAnsi"/>
        </w:rPr>
        <w:t xml:space="preserve">about </w:t>
      </w:r>
      <w:r>
        <w:rPr>
          <w:rFonts w:asciiTheme="minorHAnsi" w:hAnsiTheme="minorHAnsi" w:cstheme="minorHAnsi"/>
        </w:rPr>
        <w:t>‘</w:t>
      </w:r>
      <w:r w:rsidRPr="00BE2BAA">
        <w:rPr>
          <w:rFonts w:asciiTheme="minorHAnsi" w:hAnsiTheme="minorHAnsi" w:cstheme="minorHAnsi"/>
        </w:rPr>
        <w:t>Independent Living’</w:t>
      </w:r>
      <w:r>
        <w:rPr>
          <w:rFonts w:asciiTheme="minorHAnsi" w:hAnsiTheme="minorHAnsi" w:cstheme="minorHAnsi"/>
        </w:rPr>
        <w:t xml:space="preserve"> which covers the arrangements Trustees</w:t>
      </w:r>
      <w:r w:rsidRPr="00BE2BAA">
        <w:rPr>
          <w:rFonts w:asciiTheme="minorHAnsi" w:hAnsiTheme="minorHAnsi" w:cstheme="minorHAnsi"/>
        </w:rPr>
        <w:t xml:space="preserve"> should consider requesting both new and existing residents to make as a matter </w:t>
      </w:r>
      <w:r>
        <w:rPr>
          <w:rFonts w:asciiTheme="minorHAnsi" w:hAnsiTheme="minorHAnsi" w:cstheme="minorHAnsi"/>
        </w:rPr>
        <w:t>of course. T</w:t>
      </w:r>
      <w:r w:rsidRPr="00BE2BAA">
        <w:rPr>
          <w:rFonts w:asciiTheme="minorHAnsi" w:hAnsiTheme="minorHAnsi" w:cstheme="minorHAnsi"/>
        </w:rPr>
        <w:t>hese include nominating a next of kin or close friend who may be contacted in case of need, arranging a Power of Attorney and providing the charity with an authority to communicate with the individual’s GP.</w:t>
      </w:r>
      <w:r>
        <w:rPr>
          <w:rFonts w:asciiTheme="minorHAnsi" w:hAnsiTheme="minorHAnsi" w:cstheme="minorHAnsi"/>
        </w:rPr>
        <w:t xml:space="preserve"> As always, the template policy may need to be adapted by the charity to meet individual circumstances, but it is intended to cover the important issues that Trustees should address in order to avoid difficult situations that might otherwise arise.  </w:t>
      </w:r>
    </w:p>
    <w:p w14:paraId="356D8A91" w14:textId="77777777" w:rsidR="00AE7D02" w:rsidRDefault="00AE7D02" w:rsidP="00AE7D02">
      <w:pPr>
        <w:pStyle w:val="NoSpacing"/>
        <w:rPr>
          <w:rFonts w:asciiTheme="minorHAnsi" w:hAnsiTheme="minorHAnsi" w:cstheme="minorHAnsi"/>
        </w:rPr>
      </w:pPr>
    </w:p>
    <w:p w14:paraId="384E982A" w14:textId="77777777" w:rsidR="00BE10A4" w:rsidRDefault="00AE7D02" w:rsidP="00BE10A4">
      <w:pPr>
        <w:pStyle w:val="NoSpacing"/>
        <w:rPr>
          <w:rFonts w:asciiTheme="minorHAnsi" w:hAnsiTheme="minorHAnsi" w:cstheme="minorHAnsi"/>
        </w:rPr>
      </w:pPr>
      <w:r>
        <w:rPr>
          <w:rFonts w:asciiTheme="minorHAnsi" w:hAnsiTheme="minorHAnsi" w:cstheme="minorHAnsi"/>
        </w:rPr>
        <w:t>In cases where it appears that residents are no longer able to live independently</w:t>
      </w:r>
      <w:r w:rsidRPr="00D818F5">
        <w:rPr>
          <w:rFonts w:asciiTheme="minorHAnsi" w:hAnsiTheme="minorHAnsi" w:cstheme="minorHAnsi"/>
          <w:b/>
          <w:bCs/>
          <w:i/>
          <w:iCs/>
        </w:rPr>
        <w:t xml:space="preserve">, </w:t>
      </w:r>
      <w:r w:rsidR="005C01F7" w:rsidRPr="00D818F5">
        <w:rPr>
          <w:rFonts w:asciiTheme="minorHAnsi" w:hAnsiTheme="minorHAnsi" w:cstheme="minorHAnsi"/>
          <w:b/>
          <w:bCs/>
          <w:i/>
          <w:iCs/>
        </w:rPr>
        <w:t>i.e.,</w:t>
      </w:r>
      <w:r w:rsidRPr="00D818F5">
        <w:rPr>
          <w:rFonts w:asciiTheme="minorHAnsi" w:hAnsiTheme="minorHAnsi" w:cstheme="minorHAnsi"/>
          <w:b/>
          <w:bCs/>
          <w:i/>
          <w:iCs/>
        </w:rPr>
        <w:t xml:space="preserve"> when they are perceived to be in danger either to themselves and / or others,</w:t>
      </w:r>
      <w:r>
        <w:rPr>
          <w:rFonts w:asciiTheme="minorHAnsi" w:hAnsiTheme="minorHAnsi" w:cstheme="minorHAnsi"/>
        </w:rPr>
        <w:t xml:space="preserve"> </w:t>
      </w:r>
      <w:r w:rsidR="00AD0414">
        <w:rPr>
          <w:rFonts w:asciiTheme="minorHAnsi" w:hAnsiTheme="minorHAnsi" w:cstheme="minorHAnsi"/>
        </w:rPr>
        <w:t>T</w:t>
      </w:r>
      <w:r>
        <w:rPr>
          <w:rFonts w:asciiTheme="minorHAnsi" w:hAnsiTheme="minorHAnsi" w:cstheme="minorHAnsi"/>
        </w:rPr>
        <w:t xml:space="preserve">he Almshouse Association advises that every effort should be made to facilitate the resident to move to a more appropriate accommodation and, in extreme circumstances, to terminate the appointment.   This might involve Social Services putting a care package in place. Setting aside the resident’s appointment should always be regarded as the last resort, but where setting aside becomes inevitable, the Association strongly recommends Trustees follow carefully the advice set out in </w:t>
      </w:r>
      <w:r>
        <w:rPr>
          <w:rFonts w:asciiTheme="minorHAnsi" w:hAnsiTheme="minorHAnsi" w:cstheme="minorHAnsi"/>
          <w:i/>
        </w:rPr>
        <w:t xml:space="preserve">Standards of Almshouse Management. </w:t>
      </w:r>
      <w:r>
        <w:rPr>
          <w:rFonts w:asciiTheme="minorHAnsi" w:hAnsiTheme="minorHAnsi" w:cstheme="minorHAnsi"/>
        </w:rPr>
        <w:t>In addition, particularly in cases where there is opposition to the resident moving on, charities should seek legal advice from a solicitor who not only specialises in charity law but has knowledge and experience of almshouse charities. While the Association is not able to recommend professional advisors, we are able to direct our members to those on the Association’s Panel of Consultants.  You may also need to consider, depending upon the resident’s individual circumstances, whether support should be provided to enable the resident to call upon the services of an independent advocate to assist with discussions</w:t>
      </w:r>
      <w:r w:rsidR="00BE10A4">
        <w:rPr>
          <w:rFonts w:asciiTheme="minorHAnsi" w:hAnsiTheme="minorHAnsi" w:cstheme="minorHAnsi"/>
        </w:rPr>
        <w:t xml:space="preserve">. </w:t>
      </w:r>
    </w:p>
    <w:p w14:paraId="58038069" w14:textId="07748AA0" w:rsidR="00AE7D02" w:rsidRPr="00800281" w:rsidRDefault="00250AD0" w:rsidP="00800281">
      <w:pPr>
        <w:spacing w:after="0" w:line="240" w:lineRule="auto"/>
        <w:rPr>
          <w:rFonts w:ascii="Calibri" w:eastAsia="Calibri" w:hAnsi="Calibri" w:cs="Calibri"/>
          <w:b/>
          <w:bCs/>
          <w:szCs w:val="24"/>
        </w:rPr>
      </w:pPr>
      <w:r w:rsidRPr="00250AD0">
        <w:rPr>
          <w:rFonts w:ascii="Calibri" w:eastAsia="Calibri" w:hAnsi="Calibri" w:cs="Calibri"/>
          <w:b/>
          <w:bCs/>
          <w:szCs w:val="24"/>
        </w:rPr>
        <w:t>Note: Almshouses are for independent living. Nursing care is a specialist, skilled and trained area not usually required by almshouse staff. There are, however, numerous examples of trustees or residents acting as a “good neighbour” and that is very much the ethos of almshouses. Trustees should be clear and brief their staff on where the boundaries are.</w:t>
      </w:r>
    </w:p>
    <w:p w14:paraId="0189D392" w14:textId="77777777" w:rsidR="00276505" w:rsidRDefault="00276505" w:rsidP="0032457F">
      <w:pPr>
        <w:pStyle w:val="NoSpacing"/>
        <w:rPr>
          <w:rFonts w:asciiTheme="minorHAnsi" w:eastAsia="Calibri" w:hAnsiTheme="minorHAnsi" w:cstheme="minorHAnsi"/>
          <w:b/>
          <w:sz w:val="22"/>
        </w:rPr>
        <w:sectPr w:rsidR="00276505" w:rsidSect="00276505">
          <w:headerReference w:type="even" r:id="rId10"/>
          <w:headerReference w:type="default" r:id="rId11"/>
          <w:footerReference w:type="even" r:id="rId12"/>
          <w:footerReference w:type="default" r:id="rId13"/>
          <w:headerReference w:type="first" r:id="rId14"/>
          <w:footerReference w:type="first" r:id="rId15"/>
          <w:pgSz w:w="11906" w:h="16838"/>
          <w:pgMar w:top="1134" w:right="1274" w:bottom="993" w:left="1134" w:header="708" w:footer="708" w:gutter="0"/>
          <w:cols w:space="708"/>
          <w:titlePg/>
          <w:docGrid w:linePitch="360"/>
        </w:sectPr>
      </w:pPr>
    </w:p>
    <w:p w14:paraId="52FF9509" w14:textId="77777777" w:rsidR="00C12D08" w:rsidRDefault="00C12D08" w:rsidP="0032457F">
      <w:pPr>
        <w:pStyle w:val="NoSpacing"/>
        <w:rPr>
          <w:rFonts w:asciiTheme="minorHAnsi" w:eastAsia="Calibri" w:hAnsiTheme="minorHAnsi" w:cstheme="minorHAnsi"/>
          <w:b/>
          <w:sz w:val="22"/>
        </w:rPr>
      </w:pPr>
    </w:p>
    <w:p w14:paraId="39B28551" w14:textId="77777777" w:rsidR="00276505" w:rsidRPr="00276505" w:rsidRDefault="00276505" w:rsidP="00276505">
      <w:pPr>
        <w:jc w:val="center"/>
      </w:pPr>
    </w:p>
    <w:p w14:paraId="3E3775B5" w14:textId="32055469" w:rsidR="00C417C9" w:rsidRPr="00C12D08" w:rsidRDefault="00C12D08" w:rsidP="0032457F">
      <w:pPr>
        <w:pStyle w:val="NoSpacing"/>
        <w:rPr>
          <w:rFonts w:asciiTheme="minorHAnsi" w:eastAsia="Calibri" w:hAnsiTheme="minorHAnsi" w:cstheme="minorHAnsi"/>
          <w:b/>
          <w:sz w:val="52"/>
          <w:szCs w:val="52"/>
        </w:rPr>
      </w:pPr>
      <w:r w:rsidRPr="00C12D08">
        <w:rPr>
          <w:rFonts w:asciiTheme="minorHAnsi" w:eastAsia="Calibri" w:hAnsiTheme="minorHAnsi" w:cstheme="minorHAnsi"/>
          <w:b/>
          <w:sz w:val="52"/>
          <w:szCs w:val="52"/>
        </w:rPr>
        <w:lastRenderedPageBreak/>
        <w:t>Independent Living</w:t>
      </w:r>
    </w:p>
    <w:p w14:paraId="11840754" w14:textId="1119EA6D" w:rsidR="00C12D08" w:rsidRDefault="00C12D08" w:rsidP="0032457F">
      <w:pPr>
        <w:pStyle w:val="NoSpacing"/>
        <w:rPr>
          <w:rFonts w:asciiTheme="minorHAnsi" w:eastAsia="Calibri" w:hAnsiTheme="minorHAnsi" w:cstheme="minorHAnsi"/>
          <w:b/>
          <w:sz w:val="22"/>
        </w:rPr>
      </w:pPr>
    </w:p>
    <w:p w14:paraId="518DFF99" w14:textId="6441F2A8" w:rsidR="00C12D08" w:rsidRPr="00327A27" w:rsidRDefault="00C12D08" w:rsidP="00C12D08">
      <w:pPr>
        <w:pStyle w:val="NoSpacing"/>
        <w:rPr>
          <w:rFonts w:asciiTheme="minorHAnsi" w:hAnsiTheme="minorHAnsi" w:cstheme="minorHAnsi"/>
          <w:b/>
          <w:bCs/>
          <w:sz w:val="32"/>
          <w:szCs w:val="32"/>
        </w:rPr>
      </w:pPr>
      <w:r w:rsidRPr="00327A27">
        <w:rPr>
          <w:rFonts w:asciiTheme="minorHAnsi" w:hAnsiTheme="minorHAnsi" w:cstheme="minorHAnsi"/>
          <w:b/>
          <w:bCs/>
          <w:sz w:val="32"/>
          <w:szCs w:val="32"/>
        </w:rPr>
        <w:t>Almshouse Asso</w:t>
      </w:r>
      <w:r w:rsidR="00327A27" w:rsidRPr="00327A27">
        <w:rPr>
          <w:rFonts w:asciiTheme="minorHAnsi" w:hAnsiTheme="minorHAnsi" w:cstheme="minorHAnsi"/>
          <w:b/>
          <w:bCs/>
          <w:sz w:val="32"/>
          <w:szCs w:val="32"/>
        </w:rPr>
        <w:t xml:space="preserve">ciation Model Policy </w:t>
      </w:r>
    </w:p>
    <w:p w14:paraId="2A4300F6" w14:textId="77777777" w:rsidR="00C12D08" w:rsidRPr="0057466C" w:rsidRDefault="00C12D08" w:rsidP="0032457F">
      <w:pPr>
        <w:pStyle w:val="NoSpacing"/>
        <w:rPr>
          <w:rFonts w:asciiTheme="minorHAnsi" w:eastAsia="Calibri" w:hAnsiTheme="minorHAnsi" w:cstheme="minorHAnsi"/>
          <w:b/>
          <w:sz w:val="22"/>
        </w:rPr>
      </w:pPr>
    </w:p>
    <w:p w14:paraId="70AB86BB" w14:textId="77777777" w:rsidR="00C417C9" w:rsidRPr="0057466C" w:rsidRDefault="00C417C9" w:rsidP="00C417C9">
      <w:pPr>
        <w:spacing w:after="0" w:line="240" w:lineRule="auto"/>
        <w:jc w:val="center"/>
        <w:rPr>
          <w:rFonts w:asciiTheme="minorHAnsi" w:eastAsia="Calibri" w:hAnsiTheme="minorHAnsi" w:cstheme="minorHAnsi"/>
          <w:b/>
          <w:sz w:val="22"/>
        </w:rPr>
      </w:pPr>
    </w:p>
    <w:p w14:paraId="70E80236" w14:textId="77777777" w:rsidR="002279FE" w:rsidRPr="00BE2BAA" w:rsidRDefault="002279FE" w:rsidP="002279FE">
      <w:pPr>
        <w:spacing w:after="0" w:line="240" w:lineRule="auto"/>
        <w:rPr>
          <w:rFonts w:asciiTheme="minorHAnsi" w:eastAsia="Calibri" w:hAnsiTheme="minorHAnsi" w:cstheme="minorHAnsi"/>
          <w:b/>
        </w:rPr>
      </w:pPr>
      <w:r w:rsidRPr="00BE2BAA">
        <w:rPr>
          <w:rFonts w:asciiTheme="minorHAnsi" w:eastAsia="Calibri" w:hAnsiTheme="minorHAnsi" w:cstheme="minorHAnsi"/>
          <w:b/>
        </w:rPr>
        <w:t xml:space="preserve">Introduction </w:t>
      </w:r>
    </w:p>
    <w:p w14:paraId="0FA9C7A2" w14:textId="77777777" w:rsidR="002279FE" w:rsidRPr="00BE2BAA" w:rsidRDefault="002279FE" w:rsidP="002279FE">
      <w:pPr>
        <w:spacing w:after="0" w:line="240" w:lineRule="auto"/>
        <w:rPr>
          <w:rFonts w:asciiTheme="minorHAnsi" w:eastAsia="Calibri" w:hAnsiTheme="minorHAnsi" w:cstheme="minorHAnsi"/>
          <w:b/>
          <w:sz w:val="12"/>
        </w:rPr>
      </w:pPr>
    </w:p>
    <w:p w14:paraId="7F5C489F" w14:textId="77777777" w:rsidR="002279FE" w:rsidRPr="00BE2BAA" w:rsidRDefault="002279FE" w:rsidP="002279FE">
      <w:pPr>
        <w:spacing w:after="0" w:line="240" w:lineRule="auto"/>
        <w:rPr>
          <w:rFonts w:asciiTheme="minorHAnsi" w:eastAsia="Calibri" w:hAnsiTheme="minorHAnsi" w:cstheme="minorHAnsi"/>
        </w:rPr>
      </w:pPr>
      <w:r>
        <w:rPr>
          <w:rFonts w:asciiTheme="minorHAnsi" w:eastAsia="Calibri" w:hAnsiTheme="minorHAnsi" w:cstheme="minorHAnsi"/>
        </w:rPr>
        <w:t xml:space="preserve">The Trustees acknowledge that </w:t>
      </w:r>
      <w:r w:rsidRPr="00BE2BAA">
        <w:rPr>
          <w:rFonts w:asciiTheme="minorHAnsi" w:eastAsia="Calibri" w:hAnsiTheme="minorHAnsi" w:cstheme="minorHAnsi"/>
        </w:rPr>
        <w:t>those accommodated in almshouses should be able to live independently</w:t>
      </w:r>
      <w:r>
        <w:rPr>
          <w:rFonts w:asciiTheme="minorHAnsi" w:eastAsia="Calibri" w:hAnsiTheme="minorHAnsi" w:cstheme="minorHAnsi"/>
        </w:rPr>
        <w:t xml:space="preserve"> [and this may be expressly recognised in the charity’s governing scheme]</w:t>
      </w:r>
      <w:r w:rsidRPr="00BE2BAA">
        <w:rPr>
          <w:rFonts w:asciiTheme="minorHAnsi" w:eastAsia="Calibri" w:hAnsiTheme="minorHAnsi" w:cstheme="minorHAnsi"/>
        </w:rPr>
        <w:t xml:space="preserve">. However, </w:t>
      </w:r>
      <w:r>
        <w:rPr>
          <w:rFonts w:asciiTheme="minorHAnsi" w:eastAsia="Calibri" w:hAnsiTheme="minorHAnsi" w:cstheme="minorHAnsi"/>
        </w:rPr>
        <w:t xml:space="preserve">it is recognised that </w:t>
      </w:r>
      <w:r w:rsidRPr="00BE2BAA">
        <w:rPr>
          <w:rFonts w:asciiTheme="minorHAnsi" w:eastAsia="Calibri" w:hAnsiTheme="minorHAnsi" w:cstheme="minorHAnsi"/>
        </w:rPr>
        <w:t xml:space="preserve">circumstances sometimes arise as a result of illness, infirmity and frailty </w:t>
      </w:r>
      <w:r>
        <w:rPr>
          <w:rFonts w:asciiTheme="minorHAnsi" w:eastAsia="Calibri" w:hAnsiTheme="minorHAnsi" w:cstheme="minorHAnsi"/>
        </w:rPr>
        <w:t xml:space="preserve">that </w:t>
      </w:r>
      <w:r w:rsidRPr="00BE2BAA">
        <w:rPr>
          <w:rFonts w:asciiTheme="minorHAnsi" w:eastAsia="Calibri" w:hAnsiTheme="minorHAnsi" w:cstheme="minorHAnsi"/>
        </w:rPr>
        <w:t>lead to it being inadvisable for residents to continue living in their almshous</w:t>
      </w:r>
      <w:r>
        <w:rPr>
          <w:rFonts w:asciiTheme="minorHAnsi" w:eastAsia="Calibri" w:hAnsiTheme="minorHAnsi" w:cstheme="minorHAnsi"/>
        </w:rPr>
        <w:t xml:space="preserve">e. The charity does not provide care facilities for residents in any sense. This policy covers what actions need to be taken when Trustees identify that a resident is no longer able to live independently. </w:t>
      </w:r>
    </w:p>
    <w:p w14:paraId="125AF380" w14:textId="77777777" w:rsidR="002279FE" w:rsidRPr="00BE2BAA" w:rsidRDefault="002279FE" w:rsidP="002279FE">
      <w:pPr>
        <w:spacing w:after="0" w:line="240" w:lineRule="auto"/>
        <w:rPr>
          <w:rFonts w:asciiTheme="minorHAnsi" w:eastAsia="Calibri" w:hAnsiTheme="minorHAnsi" w:cstheme="minorHAnsi"/>
          <w:b/>
        </w:rPr>
      </w:pPr>
    </w:p>
    <w:p w14:paraId="463C332A" w14:textId="77777777" w:rsidR="002279FE" w:rsidRPr="00BE2BAA" w:rsidRDefault="002279FE" w:rsidP="002279FE">
      <w:pPr>
        <w:spacing w:after="0" w:line="240" w:lineRule="auto"/>
        <w:rPr>
          <w:rFonts w:asciiTheme="minorHAnsi" w:eastAsia="Calibri" w:hAnsiTheme="minorHAnsi" w:cstheme="minorHAnsi"/>
          <w:b/>
        </w:rPr>
      </w:pPr>
      <w:r w:rsidRPr="00BE2BAA">
        <w:rPr>
          <w:rFonts w:asciiTheme="minorHAnsi" w:eastAsia="Calibri" w:hAnsiTheme="minorHAnsi" w:cstheme="minorHAnsi"/>
          <w:b/>
        </w:rPr>
        <w:t xml:space="preserve"> Recommendations</w:t>
      </w:r>
      <w:r>
        <w:rPr>
          <w:rFonts w:asciiTheme="minorHAnsi" w:eastAsia="Calibri" w:hAnsiTheme="minorHAnsi" w:cstheme="minorHAnsi"/>
          <w:b/>
        </w:rPr>
        <w:t xml:space="preserve"> to residents at point of Letter of Appointment. </w:t>
      </w:r>
    </w:p>
    <w:p w14:paraId="0E83BEE8" w14:textId="77777777" w:rsidR="002279FE" w:rsidRPr="00BE2BAA" w:rsidRDefault="002279FE" w:rsidP="002279FE">
      <w:pPr>
        <w:spacing w:after="0" w:line="240" w:lineRule="auto"/>
        <w:rPr>
          <w:rFonts w:asciiTheme="minorHAnsi" w:eastAsia="Calibri" w:hAnsiTheme="minorHAnsi" w:cstheme="minorHAnsi"/>
          <w:b/>
          <w:sz w:val="12"/>
        </w:rPr>
      </w:pPr>
    </w:p>
    <w:p w14:paraId="6F3F8C4A" w14:textId="77777777" w:rsidR="002279FE" w:rsidRPr="00BE2BAA" w:rsidRDefault="002279FE" w:rsidP="002279FE">
      <w:pPr>
        <w:spacing w:after="0" w:line="240" w:lineRule="auto"/>
        <w:rPr>
          <w:rFonts w:asciiTheme="minorHAnsi" w:eastAsia="Calibri" w:hAnsiTheme="minorHAnsi" w:cstheme="minorHAnsi"/>
        </w:rPr>
      </w:pPr>
      <w:r w:rsidRPr="00BE2BAA">
        <w:rPr>
          <w:rFonts w:asciiTheme="minorHAnsi" w:eastAsia="Calibri" w:hAnsiTheme="minorHAnsi" w:cstheme="minorHAnsi"/>
        </w:rPr>
        <w:t>There are certain arrangements that we strongly recommend residents to make. These include:</w:t>
      </w:r>
    </w:p>
    <w:p w14:paraId="73F5F40E" w14:textId="77777777" w:rsidR="002279FE" w:rsidRPr="00BE2BAA" w:rsidRDefault="002279FE" w:rsidP="002279FE">
      <w:pPr>
        <w:spacing w:after="0" w:line="240" w:lineRule="auto"/>
        <w:rPr>
          <w:rFonts w:asciiTheme="minorHAnsi" w:eastAsia="Calibri" w:hAnsiTheme="minorHAnsi" w:cstheme="minorHAnsi"/>
          <w:sz w:val="10"/>
        </w:rPr>
      </w:pPr>
    </w:p>
    <w:p w14:paraId="3DA0C2FC" w14:textId="77777777" w:rsidR="002279FE" w:rsidRPr="00BE2BAA" w:rsidRDefault="002279FE" w:rsidP="002279FE">
      <w:pPr>
        <w:numPr>
          <w:ilvl w:val="0"/>
          <w:numId w:val="1"/>
        </w:numPr>
        <w:spacing w:after="0" w:line="240" w:lineRule="auto"/>
        <w:rPr>
          <w:rFonts w:asciiTheme="minorHAnsi" w:eastAsia="Calibri" w:hAnsiTheme="minorHAnsi" w:cstheme="minorHAnsi"/>
        </w:rPr>
      </w:pPr>
      <w:r>
        <w:rPr>
          <w:rFonts w:asciiTheme="minorHAnsi" w:eastAsia="Calibri" w:hAnsiTheme="minorHAnsi" w:cstheme="minorHAnsi"/>
        </w:rPr>
        <w:t>n</w:t>
      </w:r>
      <w:r w:rsidRPr="00BE2BAA">
        <w:rPr>
          <w:rFonts w:asciiTheme="minorHAnsi" w:eastAsia="Calibri" w:hAnsiTheme="minorHAnsi" w:cstheme="minorHAnsi"/>
        </w:rPr>
        <w:t>ominating a next of kin or close friend whom the Trustees may contact in case of need</w:t>
      </w:r>
      <w:r>
        <w:rPr>
          <w:rFonts w:asciiTheme="minorHAnsi" w:eastAsia="Calibri" w:hAnsiTheme="minorHAnsi" w:cstheme="minorHAnsi"/>
        </w:rPr>
        <w:t>. It is advisable to confirm the name of the next of kin, annually.</w:t>
      </w:r>
    </w:p>
    <w:p w14:paraId="5B6507CD" w14:textId="77777777" w:rsidR="002279FE" w:rsidRPr="00BE2BAA" w:rsidRDefault="002279FE" w:rsidP="002279FE">
      <w:pPr>
        <w:spacing w:after="0" w:line="240" w:lineRule="auto"/>
        <w:rPr>
          <w:rFonts w:asciiTheme="minorHAnsi" w:eastAsia="Calibri" w:hAnsiTheme="minorHAnsi" w:cstheme="minorHAnsi"/>
          <w:sz w:val="10"/>
        </w:rPr>
      </w:pPr>
    </w:p>
    <w:p w14:paraId="4DE91D89" w14:textId="77777777" w:rsidR="002279FE" w:rsidRPr="00BE2BAA" w:rsidRDefault="002279FE" w:rsidP="002279FE">
      <w:pPr>
        <w:numPr>
          <w:ilvl w:val="0"/>
          <w:numId w:val="1"/>
        </w:numPr>
        <w:spacing w:after="0" w:line="240" w:lineRule="auto"/>
        <w:rPr>
          <w:rFonts w:asciiTheme="minorHAnsi" w:eastAsia="Calibri" w:hAnsiTheme="minorHAnsi" w:cstheme="minorHAnsi"/>
        </w:rPr>
      </w:pPr>
      <w:r>
        <w:rPr>
          <w:rFonts w:asciiTheme="minorHAnsi" w:eastAsia="Calibri" w:hAnsiTheme="minorHAnsi" w:cstheme="minorHAnsi"/>
        </w:rPr>
        <w:t>a</w:t>
      </w:r>
      <w:r w:rsidRPr="00BE2BAA">
        <w:rPr>
          <w:rFonts w:asciiTheme="minorHAnsi" w:eastAsia="Calibri" w:hAnsiTheme="minorHAnsi" w:cstheme="minorHAnsi"/>
        </w:rPr>
        <w:t xml:space="preserve">rranging for a </w:t>
      </w:r>
      <w:r>
        <w:rPr>
          <w:rFonts w:asciiTheme="minorHAnsi" w:eastAsia="Calibri" w:hAnsiTheme="minorHAnsi" w:cstheme="minorHAnsi"/>
        </w:rPr>
        <w:t xml:space="preserve">Lasting </w:t>
      </w:r>
      <w:r w:rsidRPr="00BE2BAA">
        <w:rPr>
          <w:rFonts w:asciiTheme="minorHAnsi" w:eastAsia="Calibri" w:hAnsiTheme="minorHAnsi" w:cstheme="minorHAnsi"/>
        </w:rPr>
        <w:t>Power of Attorney</w:t>
      </w:r>
      <w:r>
        <w:rPr>
          <w:rFonts w:asciiTheme="minorHAnsi" w:eastAsia="Calibri" w:hAnsiTheme="minorHAnsi" w:cstheme="minorHAnsi"/>
        </w:rPr>
        <w:t>, the two forms being Property &amp; Financial Affairs and Health &amp; Welfare, both of which may be arranged online at a comparatively low cost or by instructing a solicitor.</w:t>
      </w:r>
      <w:r w:rsidRPr="00BE2BAA">
        <w:rPr>
          <w:rFonts w:asciiTheme="minorHAnsi" w:eastAsia="Calibri" w:hAnsiTheme="minorHAnsi" w:cstheme="minorHAnsi"/>
        </w:rPr>
        <w:t xml:space="preserve"> Details of th</w:t>
      </w:r>
      <w:r>
        <w:rPr>
          <w:rFonts w:asciiTheme="minorHAnsi" w:eastAsia="Calibri" w:hAnsiTheme="minorHAnsi" w:cstheme="minorHAnsi"/>
        </w:rPr>
        <w:t>ese</w:t>
      </w:r>
      <w:r w:rsidRPr="00BE2BAA">
        <w:rPr>
          <w:rFonts w:asciiTheme="minorHAnsi" w:eastAsia="Calibri" w:hAnsiTheme="minorHAnsi" w:cstheme="minorHAnsi"/>
        </w:rPr>
        <w:t xml:space="preserve"> should be provided to the charity in order that the Trustees may be aware of to whom they should refer in case of need. (Unfortunately</w:t>
      </w:r>
      <w:r>
        <w:rPr>
          <w:rFonts w:asciiTheme="minorHAnsi" w:eastAsia="Calibri" w:hAnsiTheme="minorHAnsi" w:cstheme="minorHAnsi"/>
        </w:rPr>
        <w:t>,</w:t>
      </w:r>
      <w:r w:rsidRPr="00BE2BAA">
        <w:rPr>
          <w:rFonts w:asciiTheme="minorHAnsi" w:eastAsia="Calibri" w:hAnsiTheme="minorHAnsi" w:cstheme="minorHAnsi"/>
        </w:rPr>
        <w:t xml:space="preserve"> statistics show that one in five of the over 80’s is diagnosed with some form of dementia and the need for a Power of Attorney to be executed is therefore of increasing importance)</w:t>
      </w:r>
      <w:r>
        <w:rPr>
          <w:rFonts w:asciiTheme="minorHAnsi" w:eastAsia="Calibri" w:hAnsiTheme="minorHAnsi" w:cstheme="minorHAnsi"/>
        </w:rPr>
        <w:t xml:space="preserve">. </w:t>
      </w:r>
      <w:r w:rsidRPr="00BE2BAA">
        <w:rPr>
          <w:rFonts w:asciiTheme="minorHAnsi" w:eastAsia="Calibri" w:hAnsiTheme="minorHAnsi" w:cstheme="minorHAnsi"/>
        </w:rPr>
        <w:t xml:space="preserve"> </w:t>
      </w:r>
    </w:p>
    <w:p w14:paraId="031EF75A" w14:textId="77777777" w:rsidR="002279FE" w:rsidRPr="00BE2BAA" w:rsidRDefault="002279FE" w:rsidP="002279FE">
      <w:pPr>
        <w:ind w:left="720"/>
        <w:contextualSpacing/>
        <w:rPr>
          <w:rFonts w:asciiTheme="minorHAnsi" w:eastAsia="Calibri" w:hAnsiTheme="minorHAnsi" w:cstheme="minorHAnsi"/>
          <w:sz w:val="12"/>
        </w:rPr>
      </w:pPr>
    </w:p>
    <w:p w14:paraId="5603DE5B" w14:textId="77777777" w:rsidR="002279FE" w:rsidRPr="004264A3" w:rsidRDefault="002279FE" w:rsidP="002279FE">
      <w:pPr>
        <w:spacing w:after="0" w:line="240" w:lineRule="auto"/>
        <w:ind w:left="720"/>
        <w:rPr>
          <w:rFonts w:asciiTheme="minorHAnsi" w:eastAsia="Calibri" w:hAnsiTheme="minorHAnsi" w:cstheme="minorHAnsi"/>
          <w:sz w:val="12"/>
        </w:rPr>
      </w:pPr>
    </w:p>
    <w:p w14:paraId="6D763EC5" w14:textId="77777777" w:rsidR="002279FE" w:rsidRPr="00BE2BAA" w:rsidRDefault="002279FE" w:rsidP="002279FE">
      <w:pPr>
        <w:numPr>
          <w:ilvl w:val="0"/>
          <w:numId w:val="1"/>
        </w:numPr>
        <w:spacing w:after="0" w:line="240" w:lineRule="auto"/>
        <w:rPr>
          <w:rFonts w:asciiTheme="minorHAnsi" w:eastAsia="Calibri" w:hAnsiTheme="minorHAnsi" w:cstheme="minorHAnsi"/>
        </w:rPr>
      </w:pPr>
      <w:r>
        <w:rPr>
          <w:rFonts w:asciiTheme="minorHAnsi" w:eastAsia="Calibri" w:hAnsiTheme="minorHAnsi" w:cstheme="minorHAnsi"/>
        </w:rPr>
        <w:t>advising</w:t>
      </w:r>
      <w:r w:rsidRPr="00BE2BAA">
        <w:rPr>
          <w:rFonts w:asciiTheme="minorHAnsi" w:eastAsia="Calibri" w:hAnsiTheme="minorHAnsi" w:cstheme="minorHAnsi"/>
        </w:rPr>
        <w:t xml:space="preserve"> </w:t>
      </w:r>
      <w:r>
        <w:rPr>
          <w:rFonts w:asciiTheme="minorHAnsi" w:eastAsia="Calibri" w:hAnsiTheme="minorHAnsi" w:cstheme="minorHAnsi"/>
        </w:rPr>
        <w:t xml:space="preserve">the charity </w:t>
      </w:r>
      <w:r w:rsidRPr="00BE2BAA">
        <w:rPr>
          <w:rFonts w:asciiTheme="minorHAnsi" w:eastAsia="Calibri" w:hAnsiTheme="minorHAnsi" w:cstheme="minorHAnsi"/>
        </w:rPr>
        <w:t>of the na</w:t>
      </w:r>
      <w:r>
        <w:rPr>
          <w:rFonts w:asciiTheme="minorHAnsi" w:eastAsia="Calibri" w:hAnsiTheme="minorHAnsi" w:cstheme="minorHAnsi"/>
        </w:rPr>
        <w:t>me and address of their</w:t>
      </w:r>
      <w:r w:rsidRPr="00BE2BAA">
        <w:rPr>
          <w:rFonts w:asciiTheme="minorHAnsi" w:eastAsia="Calibri" w:hAnsiTheme="minorHAnsi" w:cstheme="minorHAnsi"/>
        </w:rPr>
        <w:t xml:space="preserve"> </w:t>
      </w:r>
      <w:r>
        <w:rPr>
          <w:rFonts w:asciiTheme="minorHAnsi" w:eastAsia="Calibri" w:hAnsiTheme="minorHAnsi" w:cstheme="minorHAnsi"/>
        </w:rPr>
        <w:t>GP and providing</w:t>
      </w:r>
      <w:r w:rsidRPr="00BE2BAA">
        <w:rPr>
          <w:rFonts w:asciiTheme="minorHAnsi" w:eastAsia="Calibri" w:hAnsiTheme="minorHAnsi" w:cstheme="minorHAnsi"/>
        </w:rPr>
        <w:t xml:space="preserve"> the Trustees with a letter of authority enabling them to make contact with him or her in case of need</w:t>
      </w:r>
    </w:p>
    <w:p w14:paraId="6C530A1E" w14:textId="77777777" w:rsidR="002279FE" w:rsidRPr="00BE2BAA" w:rsidRDefault="002279FE" w:rsidP="002279FE">
      <w:pPr>
        <w:ind w:left="720"/>
        <w:contextualSpacing/>
        <w:rPr>
          <w:rFonts w:asciiTheme="minorHAnsi" w:eastAsia="Calibri" w:hAnsiTheme="minorHAnsi" w:cstheme="minorHAnsi"/>
          <w:sz w:val="12"/>
        </w:rPr>
      </w:pPr>
    </w:p>
    <w:p w14:paraId="48B81928" w14:textId="77777777" w:rsidR="002279FE" w:rsidRPr="00BE2BAA" w:rsidRDefault="002279FE" w:rsidP="002279FE">
      <w:pPr>
        <w:numPr>
          <w:ilvl w:val="0"/>
          <w:numId w:val="1"/>
        </w:numPr>
        <w:spacing w:after="0" w:line="240" w:lineRule="auto"/>
        <w:rPr>
          <w:rFonts w:asciiTheme="minorHAnsi" w:eastAsia="Calibri" w:hAnsiTheme="minorHAnsi" w:cstheme="minorHAnsi"/>
        </w:rPr>
      </w:pPr>
      <w:r>
        <w:rPr>
          <w:rFonts w:asciiTheme="minorHAnsi" w:eastAsia="Calibri" w:hAnsiTheme="minorHAnsi" w:cstheme="minorHAnsi"/>
        </w:rPr>
        <w:t xml:space="preserve">informing the Trustees of the location of </w:t>
      </w:r>
      <w:r w:rsidRPr="00BE2BAA">
        <w:rPr>
          <w:rFonts w:asciiTheme="minorHAnsi" w:eastAsia="Calibri" w:hAnsiTheme="minorHAnsi" w:cstheme="minorHAnsi"/>
        </w:rPr>
        <w:t>p</w:t>
      </w:r>
      <w:r>
        <w:rPr>
          <w:rFonts w:asciiTheme="minorHAnsi" w:eastAsia="Calibri" w:hAnsiTheme="minorHAnsi" w:cstheme="minorHAnsi"/>
        </w:rPr>
        <w:t>apers relating to their</w:t>
      </w:r>
      <w:r w:rsidRPr="00BE2BAA">
        <w:rPr>
          <w:rFonts w:asciiTheme="minorHAnsi" w:eastAsia="Calibri" w:hAnsiTheme="minorHAnsi" w:cstheme="minorHAnsi"/>
        </w:rPr>
        <w:t xml:space="preserve"> financial affairs</w:t>
      </w:r>
      <w:r>
        <w:rPr>
          <w:rFonts w:asciiTheme="minorHAnsi" w:eastAsia="Calibri" w:hAnsiTheme="minorHAnsi" w:cstheme="minorHAnsi"/>
        </w:rPr>
        <w:t xml:space="preserve"> and the contact details of </w:t>
      </w:r>
      <w:r w:rsidRPr="00BE2BAA">
        <w:rPr>
          <w:rFonts w:asciiTheme="minorHAnsi" w:eastAsia="Calibri" w:hAnsiTheme="minorHAnsi" w:cstheme="minorHAnsi"/>
        </w:rPr>
        <w:t xml:space="preserve">the person who has Power of Attorney. </w:t>
      </w:r>
    </w:p>
    <w:p w14:paraId="59AA01E6" w14:textId="77777777" w:rsidR="002279FE" w:rsidRPr="00BE2BAA" w:rsidRDefault="002279FE" w:rsidP="002279FE">
      <w:pPr>
        <w:ind w:left="720"/>
        <w:contextualSpacing/>
        <w:rPr>
          <w:rFonts w:asciiTheme="minorHAnsi" w:eastAsia="Calibri" w:hAnsiTheme="minorHAnsi" w:cstheme="minorHAnsi"/>
        </w:rPr>
      </w:pPr>
    </w:p>
    <w:p w14:paraId="46FFE107" w14:textId="77777777" w:rsidR="009C72D9" w:rsidRDefault="009C72D9" w:rsidP="002279FE">
      <w:pPr>
        <w:spacing w:after="0" w:line="240" w:lineRule="auto"/>
        <w:rPr>
          <w:rFonts w:asciiTheme="minorHAnsi" w:eastAsia="Calibri" w:hAnsiTheme="minorHAnsi" w:cstheme="minorHAnsi"/>
          <w:b/>
        </w:rPr>
      </w:pPr>
    </w:p>
    <w:p w14:paraId="6A17C3BF" w14:textId="4222AAD1" w:rsidR="002279FE" w:rsidRPr="00BE2BAA" w:rsidRDefault="002279FE" w:rsidP="002279FE">
      <w:pPr>
        <w:spacing w:after="0" w:line="240" w:lineRule="auto"/>
        <w:rPr>
          <w:rFonts w:asciiTheme="minorHAnsi" w:eastAsia="Calibri" w:hAnsiTheme="minorHAnsi" w:cstheme="minorHAnsi"/>
          <w:b/>
        </w:rPr>
      </w:pPr>
      <w:r w:rsidRPr="00BE2BAA">
        <w:rPr>
          <w:rFonts w:asciiTheme="minorHAnsi" w:eastAsia="Calibri" w:hAnsiTheme="minorHAnsi" w:cstheme="minorHAnsi"/>
          <w:b/>
        </w:rPr>
        <w:t>Increased Frailty</w:t>
      </w:r>
    </w:p>
    <w:p w14:paraId="2CBD6582" w14:textId="77777777" w:rsidR="002279FE" w:rsidRPr="00BE2BAA" w:rsidRDefault="002279FE" w:rsidP="002279FE">
      <w:pPr>
        <w:spacing w:after="0" w:line="240" w:lineRule="auto"/>
        <w:rPr>
          <w:rFonts w:asciiTheme="minorHAnsi" w:eastAsia="Calibri" w:hAnsiTheme="minorHAnsi" w:cstheme="minorHAnsi"/>
          <w:b/>
          <w:sz w:val="12"/>
        </w:rPr>
      </w:pPr>
    </w:p>
    <w:p w14:paraId="78EBEE03" w14:textId="77777777" w:rsidR="002279FE" w:rsidRPr="00BE2BAA" w:rsidRDefault="002279FE" w:rsidP="002279FE">
      <w:pPr>
        <w:spacing w:after="0" w:line="240" w:lineRule="auto"/>
        <w:rPr>
          <w:rFonts w:asciiTheme="minorHAnsi" w:eastAsia="Calibri" w:hAnsiTheme="minorHAnsi" w:cstheme="minorHAnsi"/>
        </w:rPr>
      </w:pPr>
      <w:r w:rsidRPr="00BE2BAA">
        <w:rPr>
          <w:rFonts w:asciiTheme="minorHAnsi" w:eastAsia="Calibri" w:hAnsiTheme="minorHAnsi" w:cstheme="minorHAnsi"/>
        </w:rPr>
        <w:t>In the case of residents experiencing increased frailty, where pra</w:t>
      </w:r>
      <w:r>
        <w:rPr>
          <w:rFonts w:asciiTheme="minorHAnsi" w:eastAsia="Calibri" w:hAnsiTheme="minorHAnsi" w:cstheme="minorHAnsi"/>
        </w:rPr>
        <w:t>ctical (and legally permissible) Trustees will</w:t>
      </w:r>
      <w:r w:rsidRPr="00BE2BAA">
        <w:rPr>
          <w:rFonts w:asciiTheme="minorHAnsi" w:eastAsia="Calibri" w:hAnsiTheme="minorHAnsi" w:cstheme="minorHAnsi"/>
        </w:rPr>
        <w:t xml:space="preserve"> endeavour to authorise adaptations to their almshouse to make life </w:t>
      </w:r>
      <w:r>
        <w:rPr>
          <w:rFonts w:asciiTheme="minorHAnsi" w:eastAsia="Calibri" w:hAnsiTheme="minorHAnsi" w:cstheme="minorHAnsi"/>
        </w:rPr>
        <w:t>easier provided that it remains safe for the resident to live independently. However, Trustees will</w:t>
      </w:r>
      <w:r w:rsidRPr="00BE2BAA">
        <w:rPr>
          <w:rFonts w:asciiTheme="minorHAnsi" w:eastAsia="Calibri" w:hAnsiTheme="minorHAnsi" w:cstheme="minorHAnsi"/>
        </w:rPr>
        <w:t xml:space="preserve"> inform residents that permission must be sought on all occasions before any adaptations are made. If it is necessary for a care package to be put in place, again Trustees </w:t>
      </w:r>
      <w:r>
        <w:rPr>
          <w:rFonts w:asciiTheme="minorHAnsi" w:eastAsia="Calibri" w:hAnsiTheme="minorHAnsi" w:cstheme="minorHAnsi"/>
        </w:rPr>
        <w:t xml:space="preserve">will ask the resident to inform the charity </w:t>
      </w:r>
      <w:r w:rsidRPr="00BE2BAA">
        <w:rPr>
          <w:rFonts w:asciiTheme="minorHAnsi" w:eastAsia="Calibri" w:hAnsiTheme="minorHAnsi" w:cstheme="minorHAnsi"/>
        </w:rPr>
        <w:t>accordingly.</w:t>
      </w:r>
    </w:p>
    <w:p w14:paraId="0E16D55D" w14:textId="77777777" w:rsidR="002279FE" w:rsidRPr="00BE2BAA" w:rsidRDefault="002279FE" w:rsidP="002279FE">
      <w:pPr>
        <w:spacing w:after="0" w:line="240" w:lineRule="auto"/>
        <w:rPr>
          <w:rFonts w:asciiTheme="minorHAnsi" w:eastAsia="Calibri" w:hAnsiTheme="minorHAnsi" w:cstheme="minorHAnsi"/>
          <w:sz w:val="14"/>
        </w:rPr>
      </w:pPr>
    </w:p>
    <w:p w14:paraId="1D041665" w14:textId="4E004052" w:rsidR="002279FE" w:rsidRDefault="002279FE" w:rsidP="002279FE">
      <w:pPr>
        <w:spacing w:after="0" w:line="240" w:lineRule="auto"/>
        <w:rPr>
          <w:rFonts w:asciiTheme="minorHAnsi" w:eastAsia="Calibri" w:hAnsiTheme="minorHAnsi" w:cstheme="minorHAnsi"/>
        </w:rPr>
      </w:pPr>
      <w:r w:rsidRPr="00BE2BAA">
        <w:rPr>
          <w:rFonts w:asciiTheme="minorHAnsi" w:eastAsia="Calibri" w:hAnsiTheme="minorHAnsi" w:cstheme="minorHAnsi"/>
        </w:rPr>
        <w:t>If increased frailty or ill health makes it impossible for a resident to continue to live independently, after full consultation with the resident, their relatives, if applicable, and medical practitioners, Trustees may feel it necessary to request the resident to move to more appropriate accommodation where care is provided.</w:t>
      </w:r>
      <w:r>
        <w:rPr>
          <w:rFonts w:asciiTheme="minorHAnsi" w:eastAsia="Calibri" w:hAnsiTheme="minorHAnsi" w:cstheme="minorHAnsi"/>
        </w:rPr>
        <w:t xml:space="preserve"> In cases where residents do not have a next of kin, it is likely that a multi-disciplinary meeting organised through the local authority will need </w:t>
      </w:r>
      <w:r>
        <w:rPr>
          <w:rFonts w:asciiTheme="minorHAnsi" w:eastAsia="Calibri" w:hAnsiTheme="minorHAnsi" w:cstheme="minorHAnsi"/>
        </w:rPr>
        <w:lastRenderedPageBreak/>
        <w:t>to be arranged. Experience shows that</w:t>
      </w:r>
      <w:r w:rsidR="00331511">
        <w:rPr>
          <w:rFonts w:asciiTheme="minorHAnsi" w:eastAsia="Calibri" w:hAnsiTheme="minorHAnsi" w:cstheme="minorHAnsi"/>
        </w:rPr>
        <w:t>,</w:t>
      </w:r>
      <w:r>
        <w:rPr>
          <w:rFonts w:asciiTheme="minorHAnsi" w:eastAsia="Calibri" w:hAnsiTheme="minorHAnsi" w:cstheme="minorHAnsi"/>
        </w:rPr>
        <w:t xml:space="preserve"> unfortunately</w:t>
      </w:r>
      <w:r w:rsidR="00331511">
        <w:rPr>
          <w:rFonts w:asciiTheme="minorHAnsi" w:eastAsia="Calibri" w:hAnsiTheme="minorHAnsi" w:cstheme="minorHAnsi"/>
        </w:rPr>
        <w:t>,</w:t>
      </w:r>
      <w:r>
        <w:rPr>
          <w:rFonts w:asciiTheme="minorHAnsi" w:eastAsia="Calibri" w:hAnsiTheme="minorHAnsi" w:cstheme="minorHAnsi"/>
        </w:rPr>
        <w:t xml:space="preserve"> it often falls to the almshouse charity to be the co-ordinator when various agencies are </w:t>
      </w:r>
      <w:r w:rsidR="00617C8A">
        <w:rPr>
          <w:rFonts w:asciiTheme="minorHAnsi" w:eastAsia="Calibri" w:hAnsiTheme="minorHAnsi" w:cstheme="minorHAnsi"/>
        </w:rPr>
        <w:t xml:space="preserve">involved </w:t>
      </w:r>
      <w:r>
        <w:rPr>
          <w:rFonts w:asciiTheme="minorHAnsi" w:eastAsia="Calibri" w:hAnsiTheme="minorHAnsi" w:cstheme="minorHAnsi"/>
        </w:rPr>
        <w:t xml:space="preserve">and Trustees may need to be persistent and persuasive in their communications with the various parties concerned. It often proves necessary to define the concept of independent living in the almshouse setting for other agencies and to make clear that in even in cases where charities have a 24/7 Scheme Manager or Warden, this does not amount to the charity providing care. Regrettably the threat of setting aside the resident’s appointment may need to be made (and in some cases actually actioned) which should be strictly on the grounds that a move to an alternative, more suitable form of accommodation. </w:t>
      </w:r>
    </w:p>
    <w:p w14:paraId="40DBF0B7" w14:textId="77777777" w:rsidR="002279FE" w:rsidRDefault="002279FE" w:rsidP="002279FE">
      <w:pPr>
        <w:spacing w:after="0" w:line="240" w:lineRule="auto"/>
        <w:rPr>
          <w:rFonts w:asciiTheme="minorHAnsi" w:eastAsia="Calibri" w:hAnsiTheme="minorHAnsi" w:cstheme="minorHAnsi"/>
        </w:rPr>
      </w:pPr>
      <w:r>
        <w:rPr>
          <w:rFonts w:asciiTheme="minorHAnsi" w:eastAsia="Calibri" w:hAnsiTheme="minorHAnsi" w:cstheme="minorHAnsi"/>
        </w:rPr>
        <w:t xml:space="preserve">Trustees should be very careful to ensure that they are clear to third parties that they are not responsible for the resident’s care and that the Trustees cannot permit residents to continue to occupy almshouse accommodation if they are not able to live independently.  Trustees should also take care not to go too far in supporting the residents to remain in the almshouses, by trying to be helpful in the short term, as this may make it harder for third parties to accept the need to find alternative accommodation.  </w:t>
      </w:r>
    </w:p>
    <w:p w14:paraId="50AE7605" w14:textId="77777777" w:rsidR="002279FE" w:rsidRPr="00BE2BAA" w:rsidRDefault="002279FE" w:rsidP="002279FE">
      <w:pPr>
        <w:spacing w:after="0" w:line="240" w:lineRule="auto"/>
        <w:rPr>
          <w:rFonts w:asciiTheme="minorHAnsi" w:eastAsia="Calibri" w:hAnsiTheme="minorHAnsi" w:cstheme="minorHAnsi"/>
        </w:rPr>
      </w:pPr>
      <w:r>
        <w:rPr>
          <w:rFonts w:asciiTheme="minorHAnsi" w:eastAsia="Calibri" w:hAnsiTheme="minorHAnsi" w:cstheme="minorHAnsi"/>
        </w:rPr>
        <w:t xml:space="preserve">   </w:t>
      </w:r>
    </w:p>
    <w:p w14:paraId="4FF279FA" w14:textId="77777777" w:rsidR="002279FE" w:rsidRPr="00BE2BAA" w:rsidRDefault="002279FE" w:rsidP="002279FE">
      <w:pPr>
        <w:spacing w:after="0" w:line="240" w:lineRule="auto"/>
        <w:rPr>
          <w:rFonts w:asciiTheme="minorHAnsi" w:eastAsia="Calibri" w:hAnsiTheme="minorHAnsi" w:cstheme="minorHAnsi"/>
        </w:rPr>
      </w:pPr>
      <w:r w:rsidRPr="00BE2BAA">
        <w:rPr>
          <w:rFonts w:asciiTheme="minorHAnsi" w:eastAsia="Calibri" w:hAnsiTheme="minorHAnsi" w:cstheme="minorHAnsi"/>
        </w:rPr>
        <w:t>Setting aside</w:t>
      </w:r>
      <w:r>
        <w:rPr>
          <w:rFonts w:asciiTheme="minorHAnsi" w:eastAsia="Calibri" w:hAnsiTheme="minorHAnsi" w:cstheme="minorHAnsi"/>
        </w:rPr>
        <w:t xml:space="preserve"> a resident’s appointment will</w:t>
      </w:r>
      <w:r w:rsidRPr="00BE2BAA">
        <w:rPr>
          <w:rFonts w:asciiTheme="minorHAnsi" w:eastAsia="Calibri" w:hAnsiTheme="minorHAnsi" w:cstheme="minorHAnsi"/>
        </w:rPr>
        <w:t xml:space="preserve"> be regarded </w:t>
      </w:r>
      <w:r>
        <w:rPr>
          <w:rFonts w:asciiTheme="minorHAnsi" w:eastAsia="Calibri" w:hAnsiTheme="minorHAnsi" w:cstheme="minorHAnsi"/>
        </w:rPr>
        <w:t xml:space="preserve">by Trustees </w:t>
      </w:r>
      <w:r w:rsidRPr="00BE2BAA">
        <w:rPr>
          <w:rFonts w:asciiTheme="minorHAnsi" w:eastAsia="Calibri" w:hAnsiTheme="minorHAnsi" w:cstheme="minorHAnsi"/>
        </w:rPr>
        <w:t>as the last resort when all efforts to remedy the situation have failed. In the event that asking the resident to move on becomes necessary, in the first instance all Trustees are advised to read the r</w:t>
      </w:r>
      <w:r>
        <w:rPr>
          <w:rFonts w:asciiTheme="minorHAnsi" w:eastAsia="Calibri" w:hAnsiTheme="minorHAnsi" w:cstheme="minorHAnsi"/>
        </w:rPr>
        <w:t xml:space="preserve">elevant section of </w:t>
      </w:r>
      <w:r w:rsidRPr="00BE2BAA">
        <w:rPr>
          <w:rFonts w:asciiTheme="minorHAnsi" w:eastAsia="Calibri" w:hAnsiTheme="minorHAnsi" w:cstheme="minorHAnsi"/>
          <w:i/>
        </w:rPr>
        <w:t>Standards of Almshouse Management</w:t>
      </w:r>
      <w:r>
        <w:rPr>
          <w:rFonts w:asciiTheme="minorHAnsi" w:eastAsia="Calibri" w:hAnsiTheme="minorHAnsi" w:cstheme="minorHAnsi"/>
        </w:rPr>
        <w:t>.</w:t>
      </w:r>
    </w:p>
    <w:p w14:paraId="243E55B2" w14:textId="77777777" w:rsidR="002279FE" w:rsidRPr="00BE2BAA" w:rsidRDefault="002279FE" w:rsidP="002279FE">
      <w:pPr>
        <w:spacing w:after="0" w:line="240" w:lineRule="auto"/>
        <w:rPr>
          <w:rFonts w:asciiTheme="minorHAnsi" w:eastAsia="Calibri" w:hAnsiTheme="minorHAnsi" w:cstheme="minorHAnsi"/>
          <w:sz w:val="14"/>
        </w:rPr>
      </w:pPr>
    </w:p>
    <w:p w14:paraId="066A5A65" w14:textId="77777777" w:rsidR="002279FE" w:rsidRDefault="002279FE" w:rsidP="002279FE">
      <w:pPr>
        <w:spacing w:after="0" w:line="240" w:lineRule="auto"/>
        <w:rPr>
          <w:rFonts w:asciiTheme="minorHAnsi" w:eastAsia="Calibri" w:hAnsiTheme="minorHAnsi" w:cstheme="minorHAnsi"/>
        </w:rPr>
      </w:pPr>
      <w:r>
        <w:rPr>
          <w:rFonts w:asciiTheme="minorHAnsi" w:eastAsia="Calibri" w:hAnsiTheme="minorHAnsi" w:cstheme="minorHAnsi"/>
        </w:rPr>
        <w:t xml:space="preserve">The Trustees are aware that </w:t>
      </w:r>
      <w:r w:rsidRPr="00BE2BAA">
        <w:rPr>
          <w:rFonts w:asciiTheme="minorHAnsi" w:eastAsia="Calibri" w:hAnsiTheme="minorHAnsi" w:cstheme="minorHAnsi"/>
        </w:rPr>
        <w:t>The A</w:t>
      </w:r>
      <w:r>
        <w:rPr>
          <w:rFonts w:asciiTheme="minorHAnsi" w:eastAsia="Calibri" w:hAnsiTheme="minorHAnsi" w:cstheme="minorHAnsi"/>
        </w:rPr>
        <w:t xml:space="preserve">lmshouse Association </w:t>
      </w:r>
      <w:r w:rsidRPr="00BE2BAA">
        <w:rPr>
          <w:rFonts w:asciiTheme="minorHAnsi" w:eastAsia="Calibri" w:hAnsiTheme="minorHAnsi" w:cstheme="minorHAnsi"/>
        </w:rPr>
        <w:t>strongly advise</w:t>
      </w:r>
      <w:r>
        <w:rPr>
          <w:rFonts w:asciiTheme="minorHAnsi" w:eastAsia="Calibri" w:hAnsiTheme="minorHAnsi" w:cstheme="minorHAnsi"/>
        </w:rPr>
        <w:t>s</w:t>
      </w:r>
      <w:r w:rsidRPr="00BE2BAA">
        <w:rPr>
          <w:rFonts w:asciiTheme="minorHAnsi" w:eastAsia="Calibri" w:hAnsiTheme="minorHAnsi" w:cstheme="minorHAnsi"/>
        </w:rPr>
        <w:t xml:space="preserve"> that legal advice be taken and would recommend that this is sought from a solicitor who not only specialises in charity law, but also has knowledge and experience of almshouse charities. T</w:t>
      </w:r>
      <w:r>
        <w:rPr>
          <w:rFonts w:asciiTheme="minorHAnsi" w:eastAsia="Calibri" w:hAnsiTheme="minorHAnsi" w:cstheme="minorHAnsi"/>
        </w:rPr>
        <w:t xml:space="preserve">he Association is able to </w:t>
      </w:r>
      <w:r w:rsidRPr="00BE2BAA">
        <w:rPr>
          <w:rFonts w:asciiTheme="minorHAnsi" w:eastAsia="Calibri" w:hAnsiTheme="minorHAnsi" w:cstheme="minorHAnsi"/>
        </w:rPr>
        <w:t>provide contact details of solicitors fulfilling this</w:t>
      </w:r>
      <w:r>
        <w:rPr>
          <w:rFonts w:asciiTheme="minorHAnsi" w:eastAsia="Calibri" w:hAnsiTheme="minorHAnsi" w:cstheme="minorHAnsi"/>
        </w:rPr>
        <w:t xml:space="preserve"> </w:t>
      </w:r>
      <w:r w:rsidRPr="00BE2BAA">
        <w:rPr>
          <w:rFonts w:asciiTheme="minorHAnsi" w:eastAsia="Calibri" w:hAnsiTheme="minorHAnsi" w:cstheme="minorHAnsi"/>
        </w:rPr>
        <w:t>criterion whose services they are aware have been used successfully by a number of its member almshouse charities, although</w:t>
      </w:r>
      <w:r>
        <w:rPr>
          <w:rFonts w:asciiTheme="minorHAnsi" w:eastAsia="Calibri" w:hAnsiTheme="minorHAnsi" w:cstheme="minorHAnsi"/>
        </w:rPr>
        <w:t xml:space="preserve"> the Trustees note that the Association does not </w:t>
      </w:r>
      <w:r w:rsidRPr="00BE2BAA">
        <w:rPr>
          <w:rFonts w:asciiTheme="minorHAnsi" w:eastAsia="Calibri" w:hAnsiTheme="minorHAnsi" w:cstheme="minorHAnsi"/>
        </w:rPr>
        <w:t xml:space="preserve">make recommendations. </w:t>
      </w:r>
    </w:p>
    <w:p w14:paraId="391A882B" w14:textId="77777777" w:rsidR="002279FE" w:rsidRDefault="002279FE" w:rsidP="002279FE">
      <w:pPr>
        <w:spacing w:after="0" w:line="240" w:lineRule="auto"/>
        <w:rPr>
          <w:rFonts w:asciiTheme="minorHAnsi" w:eastAsia="Calibri" w:hAnsiTheme="minorHAnsi" w:cstheme="minorHAnsi"/>
        </w:rPr>
      </w:pPr>
    </w:p>
    <w:p w14:paraId="49E6AB4B" w14:textId="77777777" w:rsidR="002279FE" w:rsidRDefault="002279FE" w:rsidP="002279FE">
      <w:pPr>
        <w:spacing w:after="0" w:line="240" w:lineRule="auto"/>
        <w:rPr>
          <w:rFonts w:asciiTheme="minorHAnsi" w:eastAsia="Calibri" w:hAnsiTheme="minorHAnsi" w:cstheme="minorHAnsi"/>
        </w:rPr>
      </w:pPr>
      <w:r>
        <w:rPr>
          <w:rFonts w:asciiTheme="minorHAnsi" w:eastAsia="Calibri" w:hAnsiTheme="minorHAnsi" w:cstheme="minorHAnsi"/>
        </w:rPr>
        <w:t>Check List:</w:t>
      </w:r>
    </w:p>
    <w:p w14:paraId="314635A3" w14:textId="77777777" w:rsidR="002279FE" w:rsidRDefault="002279FE" w:rsidP="002279FE">
      <w:pPr>
        <w:pStyle w:val="ListParagraph"/>
        <w:numPr>
          <w:ilvl w:val="0"/>
          <w:numId w:val="2"/>
        </w:numPr>
        <w:spacing w:after="0" w:line="240" w:lineRule="auto"/>
        <w:rPr>
          <w:rFonts w:asciiTheme="minorHAnsi" w:eastAsia="Calibri" w:hAnsiTheme="minorHAnsi" w:cstheme="minorHAnsi"/>
        </w:rPr>
      </w:pPr>
      <w:r>
        <w:rPr>
          <w:rFonts w:asciiTheme="minorHAnsi" w:eastAsia="Calibri" w:hAnsiTheme="minorHAnsi" w:cstheme="minorHAnsi"/>
        </w:rPr>
        <w:t xml:space="preserve">Develop an Independent Living policy for approval by the Board*. </w:t>
      </w:r>
    </w:p>
    <w:p w14:paraId="6D847C70" w14:textId="77777777" w:rsidR="002279FE" w:rsidRPr="00235E68" w:rsidRDefault="002279FE" w:rsidP="002279FE">
      <w:pPr>
        <w:pStyle w:val="ListParagraph"/>
        <w:numPr>
          <w:ilvl w:val="0"/>
          <w:numId w:val="2"/>
        </w:numPr>
        <w:spacing w:after="0" w:line="240" w:lineRule="auto"/>
        <w:rPr>
          <w:rFonts w:asciiTheme="minorHAnsi" w:eastAsia="Calibri" w:hAnsiTheme="minorHAnsi" w:cstheme="minorHAnsi"/>
        </w:rPr>
      </w:pPr>
      <w:r>
        <w:rPr>
          <w:rFonts w:asciiTheme="minorHAnsi" w:eastAsia="Calibri" w:hAnsiTheme="minorHAnsi" w:cstheme="minorHAnsi"/>
        </w:rPr>
        <w:t>Review the policy every 2 years</w:t>
      </w:r>
    </w:p>
    <w:p w14:paraId="0EA6C6CE" w14:textId="77777777" w:rsidR="002279FE" w:rsidRDefault="002279FE" w:rsidP="002279FE">
      <w:pPr>
        <w:pStyle w:val="ListParagraph"/>
        <w:numPr>
          <w:ilvl w:val="0"/>
          <w:numId w:val="2"/>
        </w:numPr>
        <w:spacing w:after="0" w:line="240" w:lineRule="auto"/>
        <w:rPr>
          <w:rFonts w:asciiTheme="minorHAnsi" w:eastAsia="Calibri" w:hAnsiTheme="minorHAnsi" w:cstheme="minorHAnsi"/>
        </w:rPr>
      </w:pPr>
      <w:r>
        <w:rPr>
          <w:rFonts w:asciiTheme="minorHAnsi" w:eastAsia="Calibri" w:hAnsiTheme="minorHAnsi" w:cstheme="minorHAnsi"/>
        </w:rPr>
        <w:t>The policy identifies the partners who would need to be engaged in discussions about options for alternative accommodation.</w:t>
      </w:r>
    </w:p>
    <w:p w14:paraId="2F2598E4" w14:textId="77777777" w:rsidR="002279FE" w:rsidRDefault="002279FE" w:rsidP="002279FE">
      <w:pPr>
        <w:pStyle w:val="ListParagraph"/>
        <w:numPr>
          <w:ilvl w:val="0"/>
          <w:numId w:val="2"/>
        </w:numPr>
        <w:spacing w:after="0" w:line="240" w:lineRule="auto"/>
        <w:rPr>
          <w:rFonts w:asciiTheme="minorHAnsi" w:eastAsia="Calibri" w:hAnsiTheme="minorHAnsi" w:cstheme="minorHAnsi"/>
        </w:rPr>
      </w:pPr>
      <w:r>
        <w:rPr>
          <w:rFonts w:asciiTheme="minorHAnsi" w:eastAsia="Calibri" w:hAnsiTheme="minorHAnsi" w:cstheme="minorHAnsi"/>
        </w:rPr>
        <w:t>The policy sets out the process for setting aside a resident’s appointment when a resident no longer meets the requirements for independent living.</w:t>
      </w:r>
    </w:p>
    <w:p w14:paraId="50672451" w14:textId="77777777" w:rsidR="002279FE" w:rsidRPr="00D818F5" w:rsidRDefault="002279FE" w:rsidP="002279FE">
      <w:pPr>
        <w:pStyle w:val="ListParagraph"/>
        <w:numPr>
          <w:ilvl w:val="0"/>
          <w:numId w:val="2"/>
        </w:numPr>
        <w:spacing w:after="0" w:line="240" w:lineRule="auto"/>
        <w:rPr>
          <w:rFonts w:asciiTheme="minorHAnsi" w:eastAsia="Calibri" w:hAnsiTheme="minorHAnsi" w:cstheme="minorHAnsi"/>
        </w:rPr>
      </w:pPr>
      <w:r>
        <w:rPr>
          <w:rFonts w:asciiTheme="minorHAnsi" w:eastAsia="Calibri" w:hAnsiTheme="minorHAnsi" w:cstheme="minorHAnsi"/>
        </w:rPr>
        <w:t xml:space="preserve">If concerned that the situation will lead to a Set Aside – seek legal advice early. </w:t>
      </w:r>
    </w:p>
    <w:p w14:paraId="1FE907D3" w14:textId="77777777" w:rsidR="002279FE" w:rsidRDefault="002279FE" w:rsidP="002279FE">
      <w:pPr>
        <w:spacing w:after="0" w:line="240" w:lineRule="auto"/>
        <w:rPr>
          <w:rFonts w:asciiTheme="minorHAnsi" w:eastAsia="Calibri" w:hAnsiTheme="minorHAnsi" w:cstheme="minorHAnsi"/>
        </w:rPr>
      </w:pPr>
    </w:p>
    <w:p w14:paraId="49DDFFAB" w14:textId="77777777" w:rsidR="002279FE" w:rsidRDefault="002279FE" w:rsidP="002279FE">
      <w:pPr>
        <w:spacing w:after="0" w:line="240" w:lineRule="auto"/>
        <w:rPr>
          <w:rFonts w:asciiTheme="minorHAnsi" w:eastAsia="Calibri" w:hAnsiTheme="minorHAnsi" w:cstheme="minorHAnsi"/>
        </w:rPr>
      </w:pPr>
    </w:p>
    <w:p w14:paraId="64A6310A" w14:textId="77777777" w:rsidR="002279FE" w:rsidRDefault="002279FE" w:rsidP="002279FE">
      <w:pPr>
        <w:spacing w:after="0" w:line="240" w:lineRule="auto"/>
        <w:ind w:left="360"/>
        <w:rPr>
          <w:rFonts w:asciiTheme="minorHAnsi" w:eastAsia="Calibri" w:hAnsiTheme="minorHAnsi" w:cstheme="minorHAnsi"/>
        </w:rPr>
      </w:pPr>
      <w:r>
        <w:rPr>
          <w:rFonts w:asciiTheme="minorHAnsi" w:eastAsia="Calibri" w:hAnsiTheme="minorHAnsi" w:cstheme="minorHAnsi"/>
        </w:rPr>
        <w:t xml:space="preserve">Notes: *The policy should make the charity’s definition of independent living clear. Trustees should be clear also as to the threshold they apply to someone considered to no longer be able to live independently. (The Trustees may wish to test agreement and understanding by discussing examples).  </w:t>
      </w:r>
    </w:p>
    <w:p w14:paraId="4B945F26" w14:textId="2EA583CA" w:rsidR="00235E68" w:rsidRPr="0057466C" w:rsidRDefault="00235E68" w:rsidP="00235E68">
      <w:pPr>
        <w:spacing w:after="0" w:line="240" w:lineRule="auto"/>
        <w:rPr>
          <w:rFonts w:asciiTheme="minorHAnsi" w:eastAsia="Calibri" w:hAnsiTheme="minorHAnsi" w:cstheme="minorHAnsi"/>
          <w:sz w:val="22"/>
        </w:rPr>
      </w:pPr>
    </w:p>
    <w:sectPr w:rsidR="00235E68" w:rsidRPr="0057466C" w:rsidSect="00276505">
      <w:type w:val="continuous"/>
      <w:pgSz w:w="11906" w:h="16838"/>
      <w:pgMar w:top="1134" w:right="1274"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8E67" w14:textId="77777777" w:rsidR="009D598D" w:rsidRDefault="009D598D" w:rsidP="0057466C">
      <w:pPr>
        <w:spacing w:after="0" w:line="240" w:lineRule="auto"/>
      </w:pPr>
      <w:r>
        <w:separator/>
      </w:r>
    </w:p>
  </w:endnote>
  <w:endnote w:type="continuationSeparator" w:id="0">
    <w:p w14:paraId="5823A0AF" w14:textId="77777777" w:rsidR="009D598D" w:rsidRDefault="009D598D" w:rsidP="0057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7BCD" w14:textId="77777777" w:rsidR="00276505" w:rsidRDefault="00276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732148"/>
      <w:docPartObj>
        <w:docPartGallery w:val="Page Numbers (Bottom of Page)"/>
        <w:docPartUnique/>
      </w:docPartObj>
    </w:sdtPr>
    <w:sdtEndPr>
      <w:rPr>
        <w:rFonts w:ascii="Calibri" w:hAnsi="Calibri" w:cs="Calibri"/>
        <w:noProof/>
        <w:sz w:val="22"/>
      </w:rPr>
    </w:sdtEndPr>
    <w:sdtContent>
      <w:p w14:paraId="7034A7B1" w14:textId="17CC8C01" w:rsidR="00276505" w:rsidRPr="00276505" w:rsidRDefault="00276505" w:rsidP="00276505">
        <w:pPr>
          <w:pStyle w:val="Footer"/>
          <w:jc w:val="center"/>
          <w:rPr>
            <w:rFonts w:ascii="Calibri" w:hAnsi="Calibri" w:cs="Calibri"/>
            <w:sz w:val="22"/>
          </w:rPr>
        </w:pPr>
        <w:r w:rsidRPr="00276505">
          <w:rPr>
            <w:rFonts w:ascii="Calibri" w:hAnsi="Calibri" w:cs="Calibri"/>
            <w:sz w:val="22"/>
          </w:rPr>
          <w:fldChar w:fldCharType="begin"/>
        </w:r>
        <w:r w:rsidRPr="00276505">
          <w:rPr>
            <w:rFonts w:ascii="Calibri" w:hAnsi="Calibri" w:cs="Calibri"/>
            <w:sz w:val="22"/>
          </w:rPr>
          <w:instrText xml:space="preserve"> PAGE   \* MERGEFORMAT </w:instrText>
        </w:r>
        <w:r w:rsidRPr="00276505">
          <w:rPr>
            <w:rFonts w:ascii="Calibri" w:hAnsi="Calibri" w:cs="Calibri"/>
            <w:sz w:val="22"/>
          </w:rPr>
          <w:fldChar w:fldCharType="separate"/>
        </w:r>
        <w:r w:rsidRPr="00276505">
          <w:rPr>
            <w:rFonts w:ascii="Calibri" w:hAnsi="Calibri" w:cs="Calibri"/>
            <w:noProof/>
            <w:sz w:val="22"/>
          </w:rPr>
          <w:t>2</w:t>
        </w:r>
        <w:r w:rsidRPr="00276505">
          <w:rPr>
            <w:rFonts w:ascii="Calibri" w:hAnsi="Calibri" w:cs="Calibri"/>
            <w:noProof/>
            <w:sz w:val="22"/>
          </w:rPr>
          <w:fldChar w:fldCharType="end"/>
        </w:r>
      </w:p>
    </w:sdtContent>
  </w:sdt>
  <w:p w14:paraId="4F7B1801" w14:textId="48B9D9FB" w:rsidR="003C01AB" w:rsidRPr="00276505" w:rsidRDefault="00276505" w:rsidP="008060E9">
    <w:pPr>
      <w:pStyle w:val="Footer"/>
      <w:tabs>
        <w:tab w:val="clear" w:pos="9026"/>
        <w:tab w:val="right" w:pos="9498"/>
      </w:tabs>
      <w:rPr>
        <w:rFonts w:ascii="Calibri" w:hAnsi="Calibri" w:cs="Calibri"/>
        <w:sz w:val="22"/>
      </w:rPr>
    </w:pPr>
    <w:r w:rsidRPr="008060E9">
      <w:rPr>
        <w:rFonts w:asciiTheme="minorHAnsi" w:hAnsiTheme="minorHAnsi" w:cstheme="minorHAnsi"/>
        <w:sz w:val="18"/>
        <w:szCs w:val="18"/>
      </w:rPr>
      <w:t>TAA/</w:t>
    </w:r>
    <w:proofErr w:type="spellStart"/>
    <w:r w:rsidRPr="008060E9">
      <w:rPr>
        <w:rFonts w:asciiTheme="minorHAnsi" w:hAnsiTheme="minorHAnsi" w:cstheme="minorHAnsi"/>
        <w:sz w:val="18"/>
        <w:szCs w:val="18"/>
      </w:rPr>
      <w:t>MP</w:t>
    </w:r>
    <w:r>
      <w:rPr>
        <w:rFonts w:asciiTheme="minorHAnsi" w:hAnsiTheme="minorHAnsi" w:cstheme="minorHAnsi"/>
        <w:sz w:val="18"/>
        <w:szCs w:val="18"/>
      </w:rPr>
      <w:t>ol</w:t>
    </w:r>
    <w:proofErr w:type="spellEnd"/>
    <w:r w:rsidRPr="008060E9">
      <w:rPr>
        <w:rFonts w:asciiTheme="minorHAnsi" w:hAnsiTheme="minorHAnsi" w:cstheme="minorHAnsi"/>
        <w:sz w:val="18"/>
        <w:szCs w:val="18"/>
      </w:rPr>
      <w:t>/</w:t>
    </w:r>
    <w:proofErr w:type="spellStart"/>
    <w:r w:rsidRPr="008060E9">
      <w:rPr>
        <w:rFonts w:asciiTheme="minorHAnsi" w:hAnsiTheme="minorHAnsi" w:cstheme="minorHAnsi"/>
        <w:sz w:val="18"/>
        <w:szCs w:val="18"/>
      </w:rPr>
      <w:t>indliv</w:t>
    </w:r>
    <w:proofErr w:type="spellEnd"/>
    <w:r w:rsidRPr="008060E9">
      <w:rPr>
        <w:rFonts w:asciiTheme="minorHAnsi" w:hAnsiTheme="minorHAnsi" w:cstheme="minorHAnsi"/>
        <w:sz w:val="18"/>
        <w:szCs w:val="18"/>
      </w:rPr>
      <w:t xml:space="preserve"> v</w:t>
    </w:r>
    <w:r>
      <w:rPr>
        <w:rFonts w:asciiTheme="minorHAnsi" w:hAnsiTheme="minorHAnsi" w:cstheme="minorHAnsi"/>
        <w:sz w:val="18"/>
        <w:szCs w:val="18"/>
      </w:rPr>
      <w:t>4</w:t>
    </w:r>
    <w:r w:rsidR="00771ED9">
      <w:rPr>
        <w:rFonts w:asciiTheme="minorHAnsi" w:hAnsiTheme="minorHAnsi" w:cstheme="minorHAnsi"/>
        <w:sz w:val="18"/>
        <w:szCs w:val="18"/>
      </w:rPr>
      <w:tab/>
    </w:r>
    <w:r w:rsidR="00771ED9">
      <w:rPr>
        <w:rFonts w:asciiTheme="minorHAnsi" w:hAnsiTheme="minorHAnsi" w:cstheme="minorHAnsi"/>
        <w:sz w:val="18"/>
        <w:szCs w:val="18"/>
      </w:rPr>
      <w:tab/>
    </w:r>
    <w:r w:rsidR="00771ED9" w:rsidRPr="008060E9">
      <w:rPr>
        <w:rFonts w:asciiTheme="minorHAnsi" w:hAnsiTheme="minorHAnsi" w:cstheme="minorHAnsi"/>
        <w:sz w:val="18"/>
        <w:szCs w:val="18"/>
      </w:rPr>
      <w:t xml:space="preserve">updated </w:t>
    </w:r>
    <w:r w:rsidR="00771ED9">
      <w:rPr>
        <w:rFonts w:asciiTheme="minorHAnsi" w:hAnsiTheme="minorHAnsi" w:cstheme="minorHAnsi"/>
        <w:sz w:val="18"/>
        <w:szCs w:val="18"/>
      </w:rPr>
      <w:t>Jun</w:t>
    </w:r>
    <w:r w:rsidR="00771ED9" w:rsidRPr="008060E9">
      <w:rPr>
        <w:rFonts w:asciiTheme="minorHAnsi" w:hAnsiTheme="minorHAnsi" w:cstheme="minorHAnsi"/>
        <w:sz w:val="18"/>
        <w:szCs w:val="18"/>
      </w:rPr>
      <w:t xml:space="preserve"> 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4A2C" w14:textId="11FB2E34" w:rsidR="00276505" w:rsidRPr="008060E9" w:rsidRDefault="00276505" w:rsidP="00276505">
    <w:pPr>
      <w:pStyle w:val="Footer"/>
      <w:tabs>
        <w:tab w:val="clear" w:pos="9026"/>
        <w:tab w:val="right" w:pos="9498"/>
      </w:tabs>
      <w:rPr>
        <w:rFonts w:asciiTheme="minorHAnsi" w:hAnsiTheme="minorHAnsi" w:cstheme="minorHAnsi"/>
        <w:sz w:val="18"/>
        <w:szCs w:val="18"/>
      </w:rPr>
    </w:pPr>
    <w:r w:rsidRPr="008060E9">
      <w:rPr>
        <w:rFonts w:asciiTheme="minorHAnsi" w:hAnsiTheme="minorHAnsi" w:cstheme="minorHAnsi"/>
        <w:sz w:val="18"/>
        <w:szCs w:val="18"/>
      </w:rPr>
      <w:t>TAA/</w:t>
    </w:r>
    <w:proofErr w:type="spellStart"/>
    <w:r w:rsidRPr="008060E9">
      <w:rPr>
        <w:rFonts w:asciiTheme="minorHAnsi" w:hAnsiTheme="minorHAnsi" w:cstheme="minorHAnsi"/>
        <w:sz w:val="18"/>
        <w:szCs w:val="18"/>
      </w:rPr>
      <w:t>MP</w:t>
    </w:r>
    <w:r>
      <w:rPr>
        <w:rFonts w:asciiTheme="minorHAnsi" w:hAnsiTheme="minorHAnsi" w:cstheme="minorHAnsi"/>
        <w:sz w:val="18"/>
        <w:szCs w:val="18"/>
      </w:rPr>
      <w:t>ol</w:t>
    </w:r>
    <w:proofErr w:type="spellEnd"/>
    <w:r w:rsidRPr="008060E9">
      <w:rPr>
        <w:rFonts w:asciiTheme="minorHAnsi" w:hAnsiTheme="minorHAnsi" w:cstheme="minorHAnsi"/>
        <w:sz w:val="18"/>
        <w:szCs w:val="18"/>
      </w:rPr>
      <w:t>/</w:t>
    </w:r>
    <w:proofErr w:type="spellStart"/>
    <w:r w:rsidRPr="008060E9">
      <w:rPr>
        <w:rFonts w:asciiTheme="minorHAnsi" w:hAnsiTheme="minorHAnsi" w:cstheme="minorHAnsi"/>
        <w:sz w:val="18"/>
        <w:szCs w:val="18"/>
      </w:rPr>
      <w:t>indliv</w:t>
    </w:r>
    <w:proofErr w:type="spellEnd"/>
    <w:r w:rsidRPr="008060E9">
      <w:rPr>
        <w:rFonts w:asciiTheme="minorHAnsi" w:hAnsiTheme="minorHAnsi" w:cstheme="minorHAnsi"/>
        <w:sz w:val="18"/>
        <w:szCs w:val="18"/>
      </w:rPr>
      <w:t xml:space="preserve"> v</w:t>
    </w:r>
    <w:r>
      <w:rPr>
        <w:rFonts w:asciiTheme="minorHAnsi" w:hAnsiTheme="minorHAnsi" w:cstheme="minorHAnsi"/>
        <w:sz w:val="18"/>
        <w:szCs w:val="18"/>
      </w:rPr>
      <w:t>4</w:t>
    </w:r>
    <w:r w:rsidRPr="008060E9">
      <w:rPr>
        <w:rFonts w:asciiTheme="minorHAnsi" w:hAnsiTheme="minorHAnsi" w:cstheme="minorHAnsi"/>
        <w:sz w:val="18"/>
        <w:szCs w:val="18"/>
      </w:rPr>
      <w:t xml:space="preserve"> </w:t>
    </w:r>
    <w:r w:rsidRPr="008060E9">
      <w:rPr>
        <w:rFonts w:asciiTheme="minorHAnsi" w:hAnsiTheme="minorHAnsi" w:cstheme="minorHAnsi"/>
        <w:sz w:val="18"/>
        <w:szCs w:val="18"/>
      </w:rPr>
      <w:tab/>
    </w:r>
    <w:r>
      <w:rPr>
        <w:rFonts w:asciiTheme="minorHAnsi" w:hAnsiTheme="minorHAnsi" w:cstheme="minorHAnsi"/>
        <w:sz w:val="18"/>
        <w:szCs w:val="18"/>
      </w:rPr>
      <w:t xml:space="preserve">page 1 - </w:t>
    </w:r>
    <w:r>
      <w:rPr>
        <w:rFonts w:asciiTheme="minorHAnsi" w:hAnsiTheme="minorHAnsi" w:cstheme="minorHAnsi"/>
        <w:sz w:val="18"/>
        <w:szCs w:val="18"/>
      </w:rPr>
      <w:t>guidance only</w:t>
    </w:r>
    <w:r>
      <w:rPr>
        <w:rFonts w:asciiTheme="minorHAnsi" w:hAnsiTheme="minorHAnsi" w:cstheme="minorHAnsi"/>
        <w:sz w:val="18"/>
        <w:szCs w:val="18"/>
      </w:rPr>
      <w:t>. Policy starts on page 2</w:t>
    </w:r>
    <w:r w:rsidRPr="008060E9">
      <w:rPr>
        <w:rFonts w:asciiTheme="minorHAnsi" w:hAnsiTheme="minorHAnsi" w:cstheme="minorHAnsi"/>
        <w:sz w:val="18"/>
        <w:szCs w:val="18"/>
      </w:rPr>
      <w:tab/>
      <w:t xml:space="preserve">updated </w:t>
    </w:r>
    <w:r>
      <w:rPr>
        <w:rFonts w:asciiTheme="minorHAnsi" w:hAnsiTheme="minorHAnsi" w:cstheme="minorHAnsi"/>
        <w:sz w:val="18"/>
        <w:szCs w:val="18"/>
      </w:rPr>
      <w:t>Jun</w:t>
    </w:r>
    <w:r w:rsidRPr="008060E9">
      <w:rPr>
        <w:rFonts w:asciiTheme="minorHAnsi" w:hAnsiTheme="minorHAnsi" w:cstheme="minorHAnsi"/>
        <w:sz w:val="18"/>
        <w:szCs w:val="18"/>
      </w:rPr>
      <w:t xml:space="preserve"> 22</w:t>
    </w:r>
  </w:p>
  <w:p w14:paraId="11C8E159" w14:textId="77777777" w:rsidR="00276505" w:rsidRDefault="00276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0E1D" w14:textId="77777777" w:rsidR="009D598D" w:rsidRDefault="009D598D" w:rsidP="0057466C">
      <w:pPr>
        <w:spacing w:after="0" w:line="240" w:lineRule="auto"/>
      </w:pPr>
      <w:r>
        <w:separator/>
      </w:r>
    </w:p>
  </w:footnote>
  <w:footnote w:type="continuationSeparator" w:id="0">
    <w:p w14:paraId="6D991834" w14:textId="77777777" w:rsidR="009D598D" w:rsidRDefault="009D598D" w:rsidP="0057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B7CF" w14:textId="77777777" w:rsidR="00276505" w:rsidRDefault="00276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1380" w14:textId="1ED17BEB" w:rsidR="0057466C" w:rsidRDefault="0057466C">
    <w:pPr>
      <w:pStyle w:val="Header"/>
    </w:pPr>
    <w:r>
      <w:rPr>
        <w:noProof/>
      </w:rPr>
      <w:drawing>
        <wp:inline distT="0" distB="0" distL="0" distR="0" wp14:anchorId="78FDF606" wp14:editId="5D65A0AA">
          <wp:extent cx="347345" cy="347345"/>
          <wp:effectExtent l="0" t="0" r="0" b="0"/>
          <wp:docPr id="639179772" name="Picture 639179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AE02" w14:textId="77777777" w:rsidR="00276505" w:rsidRDefault="00276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26D75"/>
    <w:multiLevelType w:val="hybridMultilevel"/>
    <w:tmpl w:val="360A76A0"/>
    <w:lvl w:ilvl="0" w:tplc="5A5CF4A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F58165C"/>
    <w:multiLevelType w:val="hybridMultilevel"/>
    <w:tmpl w:val="7EBA0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9245848">
    <w:abstractNumId w:val="0"/>
  </w:num>
  <w:num w:numId="2" w16cid:durableId="1995210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05"/>
    <w:rsid w:val="00025F30"/>
    <w:rsid w:val="00073843"/>
    <w:rsid w:val="00075BC1"/>
    <w:rsid w:val="000A2AB7"/>
    <w:rsid w:val="000D4210"/>
    <w:rsid w:val="00123F56"/>
    <w:rsid w:val="0014130C"/>
    <w:rsid w:val="00174036"/>
    <w:rsid w:val="0019662F"/>
    <w:rsid w:val="001F5C1B"/>
    <w:rsid w:val="00204CDF"/>
    <w:rsid w:val="00210A31"/>
    <w:rsid w:val="002279FE"/>
    <w:rsid w:val="00234606"/>
    <w:rsid w:val="00235E68"/>
    <w:rsid w:val="00235F8F"/>
    <w:rsid w:val="0024622E"/>
    <w:rsid w:val="00250AD0"/>
    <w:rsid w:val="002663C6"/>
    <w:rsid w:val="00276505"/>
    <w:rsid w:val="002863CF"/>
    <w:rsid w:val="002A5625"/>
    <w:rsid w:val="002A7875"/>
    <w:rsid w:val="002C31B1"/>
    <w:rsid w:val="00303943"/>
    <w:rsid w:val="00315CC0"/>
    <w:rsid w:val="0032457F"/>
    <w:rsid w:val="00327A27"/>
    <w:rsid w:val="00331511"/>
    <w:rsid w:val="003402FF"/>
    <w:rsid w:val="00340AFD"/>
    <w:rsid w:val="00360722"/>
    <w:rsid w:val="003B37A7"/>
    <w:rsid w:val="003C01AB"/>
    <w:rsid w:val="003C7628"/>
    <w:rsid w:val="003E4298"/>
    <w:rsid w:val="003F6DFE"/>
    <w:rsid w:val="00423C18"/>
    <w:rsid w:val="004264A3"/>
    <w:rsid w:val="004313BC"/>
    <w:rsid w:val="004417B4"/>
    <w:rsid w:val="00466AF0"/>
    <w:rsid w:val="00473557"/>
    <w:rsid w:val="0047675D"/>
    <w:rsid w:val="00496368"/>
    <w:rsid w:val="004B2CDF"/>
    <w:rsid w:val="004F2539"/>
    <w:rsid w:val="004F27B1"/>
    <w:rsid w:val="004F6A10"/>
    <w:rsid w:val="00524AC2"/>
    <w:rsid w:val="0053014A"/>
    <w:rsid w:val="00532927"/>
    <w:rsid w:val="00534A19"/>
    <w:rsid w:val="00541A62"/>
    <w:rsid w:val="0057466C"/>
    <w:rsid w:val="00593577"/>
    <w:rsid w:val="005B1875"/>
    <w:rsid w:val="005C01F7"/>
    <w:rsid w:val="005E1D7C"/>
    <w:rsid w:val="005E43BB"/>
    <w:rsid w:val="005E4C8A"/>
    <w:rsid w:val="005F3507"/>
    <w:rsid w:val="0061424B"/>
    <w:rsid w:val="00617C8A"/>
    <w:rsid w:val="006254CB"/>
    <w:rsid w:val="00627EB2"/>
    <w:rsid w:val="00627F7F"/>
    <w:rsid w:val="006419AA"/>
    <w:rsid w:val="00642B09"/>
    <w:rsid w:val="0065782E"/>
    <w:rsid w:val="0066023D"/>
    <w:rsid w:val="00660665"/>
    <w:rsid w:val="00665B5C"/>
    <w:rsid w:val="006908B1"/>
    <w:rsid w:val="00690FDA"/>
    <w:rsid w:val="006C2758"/>
    <w:rsid w:val="006C33AD"/>
    <w:rsid w:val="006D2361"/>
    <w:rsid w:val="006D4C95"/>
    <w:rsid w:val="00707600"/>
    <w:rsid w:val="00727A30"/>
    <w:rsid w:val="00771ED9"/>
    <w:rsid w:val="00772D6E"/>
    <w:rsid w:val="007C05E3"/>
    <w:rsid w:val="007D155A"/>
    <w:rsid w:val="007E041D"/>
    <w:rsid w:val="007F6E7E"/>
    <w:rsid w:val="007F7613"/>
    <w:rsid w:val="00800281"/>
    <w:rsid w:val="008060E9"/>
    <w:rsid w:val="00840A33"/>
    <w:rsid w:val="0085715A"/>
    <w:rsid w:val="008A6BF4"/>
    <w:rsid w:val="008B2945"/>
    <w:rsid w:val="008D515E"/>
    <w:rsid w:val="008D78D7"/>
    <w:rsid w:val="008E48E7"/>
    <w:rsid w:val="0090703D"/>
    <w:rsid w:val="00915491"/>
    <w:rsid w:val="009216DB"/>
    <w:rsid w:val="0092736C"/>
    <w:rsid w:val="00955DE5"/>
    <w:rsid w:val="009727B5"/>
    <w:rsid w:val="009754BF"/>
    <w:rsid w:val="00977DF4"/>
    <w:rsid w:val="009B4473"/>
    <w:rsid w:val="009C1A6D"/>
    <w:rsid w:val="009C5C8B"/>
    <w:rsid w:val="009C72D9"/>
    <w:rsid w:val="009D4805"/>
    <w:rsid w:val="009D4D6C"/>
    <w:rsid w:val="009D598D"/>
    <w:rsid w:val="009E1D32"/>
    <w:rsid w:val="009F009B"/>
    <w:rsid w:val="009F7E51"/>
    <w:rsid w:val="00A25736"/>
    <w:rsid w:val="00A34253"/>
    <w:rsid w:val="00A36803"/>
    <w:rsid w:val="00A44BB9"/>
    <w:rsid w:val="00A455A0"/>
    <w:rsid w:val="00A55FD4"/>
    <w:rsid w:val="00A576FC"/>
    <w:rsid w:val="00A727BC"/>
    <w:rsid w:val="00A8648A"/>
    <w:rsid w:val="00A93EBE"/>
    <w:rsid w:val="00AA012E"/>
    <w:rsid w:val="00AA7FE6"/>
    <w:rsid w:val="00AB1FE7"/>
    <w:rsid w:val="00AC2617"/>
    <w:rsid w:val="00AD0414"/>
    <w:rsid w:val="00AD3EBC"/>
    <w:rsid w:val="00AE323E"/>
    <w:rsid w:val="00AE7D02"/>
    <w:rsid w:val="00B01C31"/>
    <w:rsid w:val="00B22067"/>
    <w:rsid w:val="00B30CA8"/>
    <w:rsid w:val="00B74F3A"/>
    <w:rsid w:val="00B95EC8"/>
    <w:rsid w:val="00BC6ABB"/>
    <w:rsid w:val="00BE10A4"/>
    <w:rsid w:val="00BE2BAA"/>
    <w:rsid w:val="00C12D08"/>
    <w:rsid w:val="00C15E55"/>
    <w:rsid w:val="00C22F2C"/>
    <w:rsid w:val="00C417C9"/>
    <w:rsid w:val="00C53314"/>
    <w:rsid w:val="00C5655C"/>
    <w:rsid w:val="00C63EEB"/>
    <w:rsid w:val="00C80576"/>
    <w:rsid w:val="00CA6C21"/>
    <w:rsid w:val="00CB6080"/>
    <w:rsid w:val="00CC773E"/>
    <w:rsid w:val="00CF25B3"/>
    <w:rsid w:val="00D174F0"/>
    <w:rsid w:val="00D23250"/>
    <w:rsid w:val="00D372A5"/>
    <w:rsid w:val="00D46132"/>
    <w:rsid w:val="00D75A58"/>
    <w:rsid w:val="00D818F5"/>
    <w:rsid w:val="00D96686"/>
    <w:rsid w:val="00DA3915"/>
    <w:rsid w:val="00DA7FBA"/>
    <w:rsid w:val="00DB75DE"/>
    <w:rsid w:val="00DC0A64"/>
    <w:rsid w:val="00DF391B"/>
    <w:rsid w:val="00E356D1"/>
    <w:rsid w:val="00E9275D"/>
    <w:rsid w:val="00E938D4"/>
    <w:rsid w:val="00EB4771"/>
    <w:rsid w:val="00EC3267"/>
    <w:rsid w:val="00ED1D1B"/>
    <w:rsid w:val="00ED2F1E"/>
    <w:rsid w:val="00EE668C"/>
    <w:rsid w:val="00F036E4"/>
    <w:rsid w:val="00F04E34"/>
    <w:rsid w:val="00F4715A"/>
    <w:rsid w:val="00F54920"/>
    <w:rsid w:val="00F84E9A"/>
    <w:rsid w:val="00FA0F0E"/>
    <w:rsid w:val="00FC0305"/>
    <w:rsid w:val="00FD0405"/>
    <w:rsid w:val="00FE41A2"/>
    <w:rsid w:val="00FF50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7925"/>
  <w15:docId w15:val="{6BA8238D-B5CD-4032-BE46-3D069FFB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405"/>
    <w:pPr>
      <w:spacing w:after="0" w:line="240" w:lineRule="auto"/>
    </w:pPr>
  </w:style>
  <w:style w:type="character" w:styleId="Hyperlink">
    <w:name w:val="Hyperlink"/>
    <w:basedOn w:val="DefaultParagraphFont"/>
    <w:uiPriority w:val="99"/>
    <w:unhideWhenUsed/>
    <w:rsid w:val="00F4715A"/>
    <w:rPr>
      <w:color w:val="0000FF" w:themeColor="hyperlink"/>
      <w:u w:val="single"/>
    </w:rPr>
  </w:style>
  <w:style w:type="paragraph" w:styleId="BalloonText">
    <w:name w:val="Balloon Text"/>
    <w:basedOn w:val="Normal"/>
    <w:link w:val="BalloonTextChar"/>
    <w:uiPriority w:val="99"/>
    <w:semiHidden/>
    <w:unhideWhenUsed/>
    <w:rsid w:val="00907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03D"/>
    <w:rPr>
      <w:rFonts w:ascii="Tahoma" w:hAnsi="Tahoma" w:cs="Tahoma"/>
      <w:sz w:val="16"/>
      <w:szCs w:val="16"/>
    </w:rPr>
  </w:style>
  <w:style w:type="character" w:styleId="CommentReference">
    <w:name w:val="annotation reference"/>
    <w:basedOn w:val="DefaultParagraphFont"/>
    <w:uiPriority w:val="99"/>
    <w:semiHidden/>
    <w:unhideWhenUsed/>
    <w:rsid w:val="00B74F3A"/>
    <w:rPr>
      <w:sz w:val="16"/>
      <w:szCs w:val="16"/>
    </w:rPr>
  </w:style>
  <w:style w:type="paragraph" w:styleId="CommentText">
    <w:name w:val="annotation text"/>
    <w:basedOn w:val="Normal"/>
    <w:link w:val="CommentTextChar"/>
    <w:uiPriority w:val="99"/>
    <w:semiHidden/>
    <w:unhideWhenUsed/>
    <w:rsid w:val="00B74F3A"/>
    <w:pPr>
      <w:spacing w:line="240" w:lineRule="auto"/>
    </w:pPr>
    <w:rPr>
      <w:sz w:val="20"/>
      <w:szCs w:val="20"/>
    </w:rPr>
  </w:style>
  <w:style w:type="character" w:customStyle="1" w:styleId="CommentTextChar">
    <w:name w:val="Comment Text Char"/>
    <w:basedOn w:val="DefaultParagraphFont"/>
    <w:link w:val="CommentText"/>
    <w:uiPriority w:val="99"/>
    <w:semiHidden/>
    <w:rsid w:val="00B74F3A"/>
    <w:rPr>
      <w:sz w:val="20"/>
      <w:szCs w:val="20"/>
    </w:rPr>
  </w:style>
  <w:style w:type="paragraph" w:styleId="CommentSubject">
    <w:name w:val="annotation subject"/>
    <w:basedOn w:val="CommentText"/>
    <w:next w:val="CommentText"/>
    <w:link w:val="CommentSubjectChar"/>
    <w:uiPriority w:val="99"/>
    <w:semiHidden/>
    <w:unhideWhenUsed/>
    <w:rsid w:val="00B74F3A"/>
    <w:rPr>
      <w:b/>
      <w:bCs/>
    </w:rPr>
  </w:style>
  <w:style w:type="character" w:customStyle="1" w:styleId="CommentSubjectChar">
    <w:name w:val="Comment Subject Char"/>
    <w:basedOn w:val="CommentTextChar"/>
    <w:link w:val="CommentSubject"/>
    <w:uiPriority w:val="99"/>
    <w:semiHidden/>
    <w:rsid w:val="00B74F3A"/>
    <w:rPr>
      <w:b/>
      <w:bCs/>
      <w:sz w:val="20"/>
      <w:szCs w:val="20"/>
    </w:rPr>
  </w:style>
  <w:style w:type="paragraph" w:styleId="ListParagraph">
    <w:name w:val="List Paragraph"/>
    <w:basedOn w:val="Normal"/>
    <w:uiPriority w:val="34"/>
    <w:qFormat/>
    <w:rsid w:val="002A5625"/>
    <w:pPr>
      <w:ind w:left="720"/>
      <w:contextualSpacing/>
    </w:pPr>
  </w:style>
  <w:style w:type="paragraph" w:styleId="Revision">
    <w:name w:val="Revision"/>
    <w:hidden/>
    <w:uiPriority w:val="99"/>
    <w:semiHidden/>
    <w:rsid w:val="00A25736"/>
    <w:pPr>
      <w:spacing w:after="0" w:line="240" w:lineRule="auto"/>
    </w:pPr>
  </w:style>
  <w:style w:type="paragraph" w:styleId="Header">
    <w:name w:val="header"/>
    <w:basedOn w:val="Normal"/>
    <w:link w:val="HeaderChar"/>
    <w:uiPriority w:val="99"/>
    <w:unhideWhenUsed/>
    <w:rsid w:val="00574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66C"/>
  </w:style>
  <w:style w:type="paragraph" w:styleId="Footer">
    <w:name w:val="footer"/>
    <w:basedOn w:val="Normal"/>
    <w:link w:val="FooterChar"/>
    <w:uiPriority w:val="99"/>
    <w:unhideWhenUsed/>
    <w:rsid w:val="00574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67398">
      <w:bodyDiv w:val="1"/>
      <w:marLeft w:val="0"/>
      <w:marRight w:val="0"/>
      <w:marTop w:val="0"/>
      <w:marBottom w:val="0"/>
      <w:divBdr>
        <w:top w:val="none" w:sz="0" w:space="0" w:color="auto"/>
        <w:left w:val="none" w:sz="0" w:space="0" w:color="auto"/>
        <w:bottom w:val="none" w:sz="0" w:space="0" w:color="auto"/>
        <w:right w:val="none" w:sz="0" w:space="0" w:color="auto"/>
      </w:divBdr>
    </w:div>
    <w:div w:id="1104231084">
      <w:bodyDiv w:val="1"/>
      <w:marLeft w:val="0"/>
      <w:marRight w:val="0"/>
      <w:marTop w:val="0"/>
      <w:marBottom w:val="0"/>
      <w:divBdr>
        <w:top w:val="none" w:sz="0" w:space="0" w:color="auto"/>
        <w:left w:val="none" w:sz="0" w:space="0" w:color="auto"/>
        <w:bottom w:val="none" w:sz="0" w:space="0" w:color="auto"/>
        <w:right w:val="none" w:sz="0" w:space="0" w:color="auto"/>
      </w:divBdr>
    </w:div>
    <w:div w:id="18812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6" ma:contentTypeDescription="Create a new document." ma:contentTypeScope="" ma:versionID="448e2cd9e9364c0f5416119c00a5b914">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4239bed51d2a42c6d27d3851bbe3994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34CAE-B723-4B0E-9519-C147DF918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F1B24-C47B-496B-8727-D77179D54D81}">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3.xml><?xml version="1.0" encoding="utf-8"?>
<ds:datastoreItem xmlns:ds="http://schemas.openxmlformats.org/officeDocument/2006/customXml" ds:itemID="{A164AC80-5BA7-492D-8ED5-4EB9E50AC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1693</Words>
  <Characters>7894</Characters>
  <Application>Microsoft Office Word</Application>
  <DocSecurity>0</DocSecurity>
  <Lines>161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Marczak</dc:creator>
  <cp:lastModifiedBy>Karen Morris</cp:lastModifiedBy>
  <cp:revision>2</cp:revision>
  <cp:lastPrinted>2021-12-01T14:05:00Z</cp:lastPrinted>
  <dcterms:created xsi:type="dcterms:W3CDTF">2023-06-20T13:33:00Z</dcterms:created>
  <dcterms:modified xsi:type="dcterms:W3CDTF">2023-06-20T13:33:00Z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ies>
</file>