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24AE" w14:textId="2A84C2F6" w:rsidR="00F61E5F" w:rsidRDefault="004D66F2" w:rsidP="004D66F2">
      <w:pPr>
        <w:jc w:val="center"/>
        <w:rPr>
          <w:b/>
          <w:bCs/>
          <w:sz w:val="28"/>
          <w:szCs w:val="28"/>
        </w:rPr>
      </w:pPr>
      <w:r w:rsidRPr="004D66F2">
        <w:rPr>
          <w:b/>
          <w:bCs/>
          <w:sz w:val="28"/>
          <w:szCs w:val="28"/>
        </w:rPr>
        <w:t xml:space="preserve">Specimen </w:t>
      </w:r>
      <w:r w:rsidR="00544FC5">
        <w:rPr>
          <w:b/>
          <w:bCs/>
          <w:sz w:val="28"/>
          <w:szCs w:val="28"/>
        </w:rPr>
        <w:t>O</w:t>
      </w:r>
      <w:r w:rsidRPr="004D66F2">
        <w:rPr>
          <w:b/>
          <w:bCs/>
          <w:sz w:val="28"/>
          <w:szCs w:val="28"/>
        </w:rPr>
        <w:t xml:space="preserve">utline </w:t>
      </w:r>
      <w:r w:rsidR="00544FC5">
        <w:rPr>
          <w:b/>
          <w:bCs/>
          <w:sz w:val="28"/>
          <w:szCs w:val="28"/>
        </w:rPr>
        <w:t>B</w:t>
      </w:r>
      <w:r w:rsidRPr="004D66F2">
        <w:rPr>
          <w:b/>
          <w:bCs/>
          <w:sz w:val="28"/>
          <w:szCs w:val="28"/>
        </w:rPr>
        <w:t>udget 202</w:t>
      </w:r>
      <w:r w:rsidR="0094721C">
        <w:rPr>
          <w:b/>
          <w:bCs/>
          <w:sz w:val="28"/>
          <w:szCs w:val="28"/>
        </w:rPr>
        <w:t>6</w:t>
      </w:r>
      <w:r w:rsidR="0001397F">
        <w:rPr>
          <w:b/>
          <w:bCs/>
          <w:sz w:val="28"/>
          <w:szCs w:val="28"/>
        </w:rPr>
        <w:t xml:space="preserve"> </w:t>
      </w:r>
    </w:p>
    <w:p w14:paraId="257CA818" w14:textId="0DADEC4E" w:rsidR="00373A9E" w:rsidRDefault="0001397F" w:rsidP="004D66F2">
      <w:pPr>
        <w:jc w:val="center"/>
        <w:rPr>
          <w:b/>
          <w:bCs/>
          <w:sz w:val="28"/>
          <w:szCs w:val="28"/>
        </w:rPr>
      </w:pPr>
      <w:r>
        <w:rPr>
          <w:b/>
          <w:bCs/>
          <w:sz w:val="28"/>
          <w:szCs w:val="28"/>
        </w:rPr>
        <w:t>(</w:t>
      </w:r>
      <w:r w:rsidR="006A4B8E">
        <w:rPr>
          <w:b/>
          <w:bCs/>
          <w:sz w:val="28"/>
          <w:szCs w:val="28"/>
        </w:rPr>
        <w:t>for members preparing accounts on a cash flow basis rather than on an accruals basis)</w:t>
      </w:r>
    </w:p>
    <w:p w14:paraId="22443C24" w14:textId="77777777" w:rsidR="00382D79" w:rsidRDefault="00382D79" w:rsidP="004D66F2">
      <w:pPr>
        <w:jc w:val="center"/>
        <w:rPr>
          <w:b/>
          <w:bCs/>
          <w:sz w:val="28"/>
          <w:szCs w:val="28"/>
        </w:rPr>
      </w:pPr>
    </w:p>
    <w:tbl>
      <w:tblPr>
        <w:tblStyle w:val="TableGrid"/>
        <w:tblW w:w="10205" w:type="dxa"/>
        <w:tblLook w:val="04A0" w:firstRow="1" w:lastRow="0" w:firstColumn="1" w:lastColumn="0" w:noHBand="0" w:noVBand="1"/>
      </w:tblPr>
      <w:tblGrid>
        <w:gridCol w:w="1414"/>
        <w:gridCol w:w="5946"/>
        <w:gridCol w:w="1420"/>
        <w:gridCol w:w="1414"/>
        <w:gridCol w:w="11"/>
      </w:tblGrid>
      <w:tr w:rsidR="004D66F2" w14:paraId="241DAD69" w14:textId="77777777" w:rsidTr="007D07EE">
        <w:tc>
          <w:tcPr>
            <w:tcW w:w="1414" w:type="dxa"/>
            <w:shd w:val="clear" w:color="auto" w:fill="BCBCBC"/>
          </w:tcPr>
          <w:p w14:paraId="03B3A15B" w14:textId="7B8F43CD" w:rsidR="004D66F2" w:rsidRPr="009B2573" w:rsidRDefault="004D66F2" w:rsidP="004D66F2">
            <w:pPr>
              <w:rPr>
                <w:b/>
                <w:bCs/>
                <w:sz w:val="21"/>
                <w:szCs w:val="21"/>
              </w:rPr>
            </w:pPr>
            <w:r w:rsidRPr="009B2573">
              <w:rPr>
                <w:b/>
                <w:bCs/>
                <w:sz w:val="21"/>
                <w:szCs w:val="21"/>
              </w:rPr>
              <w:t>See notes (page</w:t>
            </w:r>
            <w:r w:rsidR="00D746DE" w:rsidRPr="009B2573">
              <w:rPr>
                <w:b/>
                <w:bCs/>
                <w:sz w:val="21"/>
                <w:szCs w:val="21"/>
              </w:rPr>
              <w:t>s</w:t>
            </w:r>
            <w:r w:rsidRPr="009B2573">
              <w:rPr>
                <w:b/>
                <w:bCs/>
                <w:sz w:val="21"/>
                <w:szCs w:val="21"/>
              </w:rPr>
              <w:t xml:space="preserve"> 2</w:t>
            </w:r>
            <w:r w:rsidR="0036570F">
              <w:rPr>
                <w:b/>
                <w:bCs/>
                <w:sz w:val="21"/>
                <w:szCs w:val="21"/>
              </w:rPr>
              <w:t xml:space="preserve"> to 5</w:t>
            </w:r>
            <w:r w:rsidRPr="009B2573">
              <w:rPr>
                <w:b/>
                <w:bCs/>
                <w:sz w:val="21"/>
                <w:szCs w:val="21"/>
              </w:rPr>
              <w:t>)</w:t>
            </w:r>
          </w:p>
        </w:tc>
        <w:tc>
          <w:tcPr>
            <w:tcW w:w="5946" w:type="dxa"/>
            <w:shd w:val="clear" w:color="auto" w:fill="BCBCBC"/>
          </w:tcPr>
          <w:p w14:paraId="1D41DC74" w14:textId="503C29D7" w:rsidR="004D66F2" w:rsidRPr="009B2573" w:rsidRDefault="004D66F2" w:rsidP="004D66F2">
            <w:pPr>
              <w:rPr>
                <w:rFonts w:cstheme="minorHAnsi"/>
                <w:b/>
                <w:bCs/>
                <w:sz w:val="21"/>
                <w:szCs w:val="21"/>
              </w:rPr>
            </w:pPr>
            <w:r w:rsidRPr="009B2573">
              <w:rPr>
                <w:rFonts w:cstheme="minorHAnsi"/>
                <w:b/>
                <w:bCs/>
                <w:sz w:val="21"/>
                <w:szCs w:val="21"/>
              </w:rPr>
              <w:t>Description</w:t>
            </w:r>
          </w:p>
        </w:tc>
        <w:tc>
          <w:tcPr>
            <w:tcW w:w="1420" w:type="dxa"/>
            <w:shd w:val="clear" w:color="auto" w:fill="BCBCBC"/>
          </w:tcPr>
          <w:p w14:paraId="02B3110E" w14:textId="0100ED37" w:rsidR="004D66F2" w:rsidRPr="009B2573" w:rsidRDefault="004D66F2" w:rsidP="00D746DE">
            <w:pPr>
              <w:rPr>
                <w:rFonts w:cstheme="minorHAnsi"/>
                <w:b/>
                <w:bCs/>
                <w:sz w:val="21"/>
                <w:szCs w:val="21"/>
              </w:rPr>
            </w:pPr>
            <w:r w:rsidRPr="009B2573">
              <w:rPr>
                <w:rFonts w:cstheme="minorHAnsi"/>
                <w:b/>
                <w:bCs/>
                <w:sz w:val="21"/>
                <w:szCs w:val="21"/>
              </w:rPr>
              <w:t>202</w:t>
            </w:r>
            <w:r w:rsidR="0094721C">
              <w:rPr>
                <w:rFonts w:cstheme="minorHAnsi"/>
                <w:b/>
                <w:bCs/>
                <w:sz w:val="21"/>
                <w:szCs w:val="21"/>
              </w:rPr>
              <w:t>5</w:t>
            </w:r>
            <w:r w:rsidRPr="009B2573">
              <w:rPr>
                <w:rFonts w:cstheme="minorHAnsi"/>
                <w:b/>
                <w:bCs/>
                <w:sz w:val="21"/>
                <w:szCs w:val="21"/>
              </w:rPr>
              <w:t xml:space="preserve"> (£)</w:t>
            </w:r>
          </w:p>
        </w:tc>
        <w:tc>
          <w:tcPr>
            <w:tcW w:w="1425" w:type="dxa"/>
            <w:gridSpan w:val="2"/>
            <w:shd w:val="clear" w:color="auto" w:fill="BCBCBC"/>
          </w:tcPr>
          <w:p w14:paraId="2AA2016E" w14:textId="57A92DE5" w:rsidR="004D66F2" w:rsidRPr="009B2573" w:rsidRDefault="004D66F2" w:rsidP="00D746DE">
            <w:pPr>
              <w:rPr>
                <w:rFonts w:cstheme="minorHAnsi"/>
                <w:b/>
                <w:bCs/>
                <w:sz w:val="21"/>
                <w:szCs w:val="21"/>
              </w:rPr>
            </w:pPr>
            <w:r w:rsidRPr="009B2573">
              <w:rPr>
                <w:rFonts w:cstheme="minorHAnsi"/>
                <w:b/>
                <w:bCs/>
                <w:sz w:val="21"/>
                <w:szCs w:val="21"/>
              </w:rPr>
              <w:t>202</w:t>
            </w:r>
            <w:r w:rsidR="0094721C">
              <w:rPr>
                <w:rFonts w:cstheme="minorHAnsi"/>
                <w:b/>
                <w:bCs/>
                <w:sz w:val="21"/>
                <w:szCs w:val="21"/>
              </w:rPr>
              <w:t>6</w:t>
            </w:r>
            <w:r w:rsidRPr="009B2573">
              <w:rPr>
                <w:rFonts w:cstheme="minorHAnsi"/>
                <w:b/>
                <w:bCs/>
                <w:sz w:val="21"/>
                <w:szCs w:val="21"/>
              </w:rPr>
              <w:t xml:space="preserve"> Proposed figure (£)</w:t>
            </w:r>
          </w:p>
        </w:tc>
      </w:tr>
      <w:tr w:rsidR="004D66F2" w14:paraId="469E7DCF" w14:textId="77777777" w:rsidTr="007D07EE">
        <w:trPr>
          <w:gridAfter w:val="1"/>
          <w:wAfter w:w="11" w:type="dxa"/>
        </w:trPr>
        <w:tc>
          <w:tcPr>
            <w:tcW w:w="1414" w:type="dxa"/>
            <w:shd w:val="clear" w:color="auto" w:fill="A1D3F1"/>
          </w:tcPr>
          <w:p w14:paraId="6040D3E6" w14:textId="69FD501D" w:rsidR="004D66F2" w:rsidRPr="009B2573" w:rsidRDefault="004D66F2" w:rsidP="004D66F2">
            <w:pPr>
              <w:rPr>
                <w:sz w:val="21"/>
                <w:szCs w:val="21"/>
              </w:rPr>
            </w:pPr>
          </w:p>
          <w:p w14:paraId="21925476" w14:textId="35D8E087" w:rsidR="0085259C" w:rsidRPr="009B2573" w:rsidRDefault="0085259C" w:rsidP="004D66F2">
            <w:pPr>
              <w:rPr>
                <w:sz w:val="21"/>
                <w:szCs w:val="21"/>
              </w:rPr>
            </w:pPr>
          </w:p>
        </w:tc>
        <w:tc>
          <w:tcPr>
            <w:tcW w:w="5946" w:type="dxa"/>
            <w:shd w:val="clear" w:color="auto" w:fill="A1D3F1"/>
          </w:tcPr>
          <w:p w14:paraId="7C962BC9" w14:textId="781299B9" w:rsidR="004D66F2" w:rsidRPr="009B2573" w:rsidRDefault="003C5CF4" w:rsidP="004D66F2">
            <w:pPr>
              <w:rPr>
                <w:rFonts w:cstheme="minorHAnsi"/>
                <w:b/>
                <w:bCs/>
                <w:sz w:val="21"/>
                <w:szCs w:val="21"/>
              </w:rPr>
            </w:pPr>
            <w:r w:rsidRPr="009B2573">
              <w:rPr>
                <w:rFonts w:cstheme="minorHAnsi"/>
                <w:b/>
                <w:bCs/>
                <w:sz w:val="21"/>
                <w:szCs w:val="21"/>
              </w:rPr>
              <w:t xml:space="preserve">OPERATING CASH FLOWS - </w:t>
            </w:r>
            <w:r w:rsidR="004D66F2" w:rsidRPr="009B2573">
              <w:rPr>
                <w:rFonts w:cstheme="minorHAnsi"/>
                <w:b/>
                <w:bCs/>
                <w:sz w:val="21"/>
                <w:szCs w:val="21"/>
              </w:rPr>
              <w:t>INCOME</w:t>
            </w:r>
          </w:p>
          <w:p w14:paraId="05BEF901" w14:textId="3DAA803C" w:rsidR="004D66F2" w:rsidRPr="009B2573" w:rsidRDefault="004D66F2" w:rsidP="004D66F2">
            <w:pPr>
              <w:rPr>
                <w:rFonts w:cstheme="minorHAnsi"/>
                <w:b/>
                <w:bCs/>
                <w:sz w:val="21"/>
                <w:szCs w:val="21"/>
              </w:rPr>
            </w:pPr>
          </w:p>
        </w:tc>
        <w:tc>
          <w:tcPr>
            <w:tcW w:w="1420" w:type="dxa"/>
            <w:shd w:val="clear" w:color="auto" w:fill="A1D3F1"/>
          </w:tcPr>
          <w:p w14:paraId="02E723D2" w14:textId="2843E880" w:rsidR="004D66F2" w:rsidRPr="009B2573" w:rsidRDefault="004D66F2" w:rsidP="004D66F2">
            <w:pPr>
              <w:rPr>
                <w:rFonts w:cstheme="minorHAnsi"/>
                <w:sz w:val="21"/>
                <w:szCs w:val="21"/>
              </w:rPr>
            </w:pPr>
          </w:p>
          <w:p w14:paraId="0A634F71" w14:textId="35F74C44" w:rsidR="0085259C" w:rsidRPr="009B2573" w:rsidRDefault="0085259C" w:rsidP="004D66F2">
            <w:pPr>
              <w:rPr>
                <w:rFonts w:cstheme="minorHAnsi"/>
                <w:sz w:val="21"/>
                <w:szCs w:val="21"/>
              </w:rPr>
            </w:pPr>
          </w:p>
        </w:tc>
        <w:tc>
          <w:tcPr>
            <w:tcW w:w="1414" w:type="dxa"/>
            <w:shd w:val="clear" w:color="auto" w:fill="A1D3F1"/>
          </w:tcPr>
          <w:p w14:paraId="0209C17A" w14:textId="2851A57B" w:rsidR="004D66F2" w:rsidRPr="009B2573" w:rsidRDefault="004D66F2" w:rsidP="004D66F2">
            <w:pPr>
              <w:rPr>
                <w:rFonts w:cstheme="minorHAnsi"/>
                <w:sz w:val="21"/>
                <w:szCs w:val="21"/>
              </w:rPr>
            </w:pPr>
          </w:p>
          <w:p w14:paraId="1EEB5EBF" w14:textId="503B4061" w:rsidR="0085259C" w:rsidRPr="009B2573" w:rsidRDefault="0085259C" w:rsidP="004D66F2">
            <w:pPr>
              <w:rPr>
                <w:rFonts w:cstheme="minorHAnsi"/>
                <w:sz w:val="21"/>
                <w:szCs w:val="21"/>
              </w:rPr>
            </w:pPr>
          </w:p>
        </w:tc>
      </w:tr>
      <w:tr w:rsidR="004D66F2" w14:paraId="0C67656E" w14:textId="77777777" w:rsidTr="007D07EE">
        <w:trPr>
          <w:gridAfter w:val="1"/>
          <w:wAfter w:w="11" w:type="dxa"/>
        </w:trPr>
        <w:tc>
          <w:tcPr>
            <w:tcW w:w="1414" w:type="dxa"/>
            <w:shd w:val="clear" w:color="auto" w:fill="BCBCBC"/>
          </w:tcPr>
          <w:p w14:paraId="494D3F6C" w14:textId="78FD3727" w:rsidR="0085259C" w:rsidRPr="009B2573" w:rsidRDefault="00D746DE" w:rsidP="0085259C">
            <w:pPr>
              <w:rPr>
                <w:b/>
                <w:bCs/>
                <w:sz w:val="21"/>
                <w:szCs w:val="21"/>
              </w:rPr>
            </w:pPr>
            <w:r w:rsidRPr="009B2573">
              <w:rPr>
                <w:b/>
                <w:bCs/>
                <w:sz w:val="21"/>
                <w:szCs w:val="21"/>
              </w:rPr>
              <w:t>Notes</w:t>
            </w:r>
            <w:r w:rsidR="00E877DF" w:rsidRPr="009B2573">
              <w:rPr>
                <w:b/>
                <w:bCs/>
                <w:sz w:val="21"/>
                <w:szCs w:val="21"/>
              </w:rPr>
              <w:t xml:space="preserve"> </w:t>
            </w:r>
            <w:r w:rsidR="0085259C" w:rsidRPr="009B2573">
              <w:rPr>
                <w:b/>
                <w:bCs/>
                <w:sz w:val="21"/>
                <w:szCs w:val="21"/>
              </w:rPr>
              <w:t>1, 3</w:t>
            </w:r>
            <w:r w:rsidR="001E4CAB">
              <w:rPr>
                <w:b/>
                <w:bCs/>
                <w:sz w:val="21"/>
                <w:szCs w:val="21"/>
              </w:rPr>
              <w:t>, 4</w:t>
            </w:r>
          </w:p>
        </w:tc>
        <w:tc>
          <w:tcPr>
            <w:tcW w:w="5946" w:type="dxa"/>
          </w:tcPr>
          <w:p w14:paraId="3386E82E" w14:textId="63E2FC76" w:rsidR="004D66F2" w:rsidRPr="009B2573" w:rsidRDefault="0085259C" w:rsidP="004D66F2">
            <w:pPr>
              <w:rPr>
                <w:rFonts w:cstheme="minorHAnsi"/>
                <w:sz w:val="21"/>
                <w:szCs w:val="21"/>
              </w:rPr>
            </w:pPr>
            <w:r w:rsidRPr="009B2573">
              <w:rPr>
                <w:rFonts w:cstheme="minorHAnsi"/>
                <w:sz w:val="21"/>
                <w:szCs w:val="21"/>
              </w:rPr>
              <w:t>Weekly Maintenance Contribution (WMC) - Full year</w:t>
            </w:r>
          </w:p>
        </w:tc>
        <w:tc>
          <w:tcPr>
            <w:tcW w:w="1420" w:type="dxa"/>
          </w:tcPr>
          <w:p w14:paraId="5985ED4C" w14:textId="77777777" w:rsidR="004D66F2" w:rsidRPr="009B2573" w:rsidRDefault="004D66F2" w:rsidP="004D66F2">
            <w:pPr>
              <w:rPr>
                <w:rFonts w:cstheme="minorHAnsi"/>
                <w:sz w:val="21"/>
                <w:szCs w:val="21"/>
              </w:rPr>
            </w:pPr>
          </w:p>
        </w:tc>
        <w:tc>
          <w:tcPr>
            <w:tcW w:w="1414" w:type="dxa"/>
          </w:tcPr>
          <w:p w14:paraId="01ED6C7B" w14:textId="77777777" w:rsidR="004D66F2" w:rsidRPr="009B2573" w:rsidRDefault="004D66F2" w:rsidP="004D66F2">
            <w:pPr>
              <w:rPr>
                <w:rFonts w:cstheme="minorHAnsi"/>
                <w:sz w:val="21"/>
                <w:szCs w:val="21"/>
              </w:rPr>
            </w:pPr>
          </w:p>
        </w:tc>
      </w:tr>
      <w:tr w:rsidR="004D66F2" w14:paraId="02D83D4C" w14:textId="77777777" w:rsidTr="007D07EE">
        <w:trPr>
          <w:gridAfter w:val="1"/>
          <w:wAfter w:w="11" w:type="dxa"/>
        </w:trPr>
        <w:tc>
          <w:tcPr>
            <w:tcW w:w="1414" w:type="dxa"/>
            <w:shd w:val="clear" w:color="auto" w:fill="BCBCBC"/>
          </w:tcPr>
          <w:p w14:paraId="75AAF005" w14:textId="53866AF2" w:rsidR="004D66F2" w:rsidRPr="009B2573" w:rsidRDefault="00D746DE" w:rsidP="004D66F2">
            <w:pPr>
              <w:rPr>
                <w:b/>
                <w:bCs/>
                <w:sz w:val="21"/>
                <w:szCs w:val="21"/>
              </w:rPr>
            </w:pPr>
            <w:r w:rsidRPr="009B2573">
              <w:rPr>
                <w:b/>
                <w:bCs/>
                <w:sz w:val="21"/>
                <w:szCs w:val="21"/>
              </w:rPr>
              <w:t xml:space="preserve">Note </w:t>
            </w:r>
            <w:r w:rsidR="00E877DF" w:rsidRPr="009B2573">
              <w:rPr>
                <w:b/>
                <w:bCs/>
                <w:sz w:val="21"/>
                <w:szCs w:val="21"/>
              </w:rPr>
              <w:t>2</w:t>
            </w:r>
          </w:p>
        </w:tc>
        <w:tc>
          <w:tcPr>
            <w:tcW w:w="5946" w:type="dxa"/>
          </w:tcPr>
          <w:p w14:paraId="39C6F674" w14:textId="5BAEDB66" w:rsidR="004D66F2" w:rsidRPr="009B2573" w:rsidRDefault="00E877DF" w:rsidP="004D66F2">
            <w:pPr>
              <w:rPr>
                <w:rFonts w:cstheme="minorHAnsi"/>
                <w:sz w:val="21"/>
                <w:szCs w:val="21"/>
              </w:rPr>
            </w:pPr>
            <w:r w:rsidRPr="009B2573">
              <w:rPr>
                <w:rFonts w:cstheme="minorHAnsi"/>
                <w:b/>
                <w:bCs/>
                <w:color w:val="FF0000"/>
                <w:sz w:val="21"/>
                <w:szCs w:val="21"/>
              </w:rPr>
              <w:t>LESS</w:t>
            </w:r>
            <w:r w:rsidRPr="009B2573">
              <w:rPr>
                <w:rFonts w:cstheme="minorHAnsi"/>
                <w:b/>
                <w:bCs/>
                <w:sz w:val="21"/>
                <w:szCs w:val="21"/>
              </w:rPr>
              <w:t xml:space="preserve"> </w:t>
            </w:r>
            <w:r w:rsidR="0085259C" w:rsidRPr="009B2573">
              <w:rPr>
                <w:rFonts w:cstheme="minorHAnsi"/>
                <w:sz w:val="21"/>
                <w:szCs w:val="21"/>
              </w:rPr>
              <w:t xml:space="preserve">WMC voids </w:t>
            </w:r>
            <w:r w:rsidR="005A5670">
              <w:rPr>
                <w:rFonts w:cstheme="minorHAnsi"/>
                <w:sz w:val="21"/>
                <w:szCs w:val="21"/>
              </w:rPr>
              <w:t>(vacant dwellings)</w:t>
            </w:r>
          </w:p>
        </w:tc>
        <w:tc>
          <w:tcPr>
            <w:tcW w:w="1420" w:type="dxa"/>
          </w:tcPr>
          <w:p w14:paraId="20E99A6E" w14:textId="77777777" w:rsidR="004D66F2" w:rsidRPr="009B2573" w:rsidRDefault="004D66F2" w:rsidP="004D66F2">
            <w:pPr>
              <w:rPr>
                <w:rFonts w:cstheme="minorHAnsi"/>
                <w:sz w:val="21"/>
                <w:szCs w:val="21"/>
              </w:rPr>
            </w:pPr>
          </w:p>
        </w:tc>
        <w:tc>
          <w:tcPr>
            <w:tcW w:w="1414" w:type="dxa"/>
          </w:tcPr>
          <w:p w14:paraId="3CD64314" w14:textId="77777777" w:rsidR="004D66F2" w:rsidRPr="009B2573" w:rsidRDefault="004D66F2" w:rsidP="004D66F2">
            <w:pPr>
              <w:rPr>
                <w:rFonts w:cstheme="minorHAnsi"/>
                <w:sz w:val="21"/>
                <w:szCs w:val="21"/>
              </w:rPr>
            </w:pPr>
          </w:p>
        </w:tc>
      </w:tr>
      <w:tr w:rsidR="004D66F2" w14:paraId="54ED4E1E" w14:textId="77777777" w:rsidTr="007D07EE">
        <w:trPr>
          <w:gridAfter w:val="1"/>
          <w:wAfter w:w="11" w:type="dxa"/>
        </w:trPr>
        <w:tc>
          <w:tcPr>
            <w:tcW w:w="1414" w:type="dxa"/>
          </w:tcPr>
          <w:p w14:paraId="3CB436B8" w14:textId="40C48F56" w:rsidR="004D66F2" w:rsidRPr="009B2573" w:rsidRDefault="0085259C" w:rsidP="004D66F2">
            <w:pPr>
              <w:rPr>
                <w:b/>
                <w:bCs/>
                <w:sz w:val="21"/>
                <w:szCs w:val="21"/>
              </w:rPr>
            </w:pPr>
            <w:r w:rsidRPr="009B2573">
              <w:rPr>
                <w:b/>
                <w:bCs/>
                <w:sz w:val="21"/>
                <w:szCs w:val="21"/>
              </w:rPr>
              <w:t>Sub total</w:t>
            </w:r>
          </w:p>
        </w:tc>
        <w:tc>
          <w:tcPr>
            <w:tcW w:w="5946" w:type="dxa"/>
          </w:tcPr>
          <w:p w14:paraId="68A40DD4" w14:textId="0C2B0D7A" w:rsidR="0085259C" w:rsidRPr="009B2573" w:rsidRDefault="0085259C" w:rsidP="0085259C">
            <w:pPr>
              <w:rPr>
                <w:rFonts w:cstheme="minorHAnsi"/>
                <w:b/>
                <w:bCs/>
                <w:sz w:val="21"/>
                <w:szCs w:val="21"/>
              </w:rPr>
            </w:pPr>
            <w:r w:rsidRPr="009B2573">
              <w:rPr>
                <w:rFonts w:cstheme="minorHAnsi"/>
                <w:b/>
                <w:bCs/>
                <w:sz w:val="21"/>
                <w:szCs w:val="21"/>
              </w:rPr>
              <w:t>Net WMC income</w:t>
            </w:r>
          </w:p>
        </w:tc>
        <w:tc>
          <w:tcPr>
            <w:tcW w:w="1420" w:type="dxa"/>
          </w:tcPr>
          <w:p w14:paraId="78B37ED0" w14:textId="77777777" w:rsidR="004D66F2" w:rsidRPr="009B2573" w:rsidRDefault="004D66F2" w:rsidP="004D66F2">
            <w:pPr>
              <w:rPr>
                <w:rFonts w:cstheme="minorHAnsi"/>
                <w:b/>
                <w:bCs/>
                <w:sz w:val="21"/>
                <w:szCs w:val="21"/>
              </w:rPr>
            </w:pPr>
          </w:p>
        </w:tc>
        <w:tc>
          <w:tcPr>
            <w:tcW w:w="1414" w:type="dxa"/>
          </w:tcPr>
          <w:p w14:paraId="1914FAFC" w14:textId="77777777" w:rsidR="004D66F2" w:rsidRPr="009B2573" w:rsidRDefault="004D66F2" w:rsidP="004D66F2">
            <w:pPr>
              <w:rPr>
                <w:rFonts w:cstheme="minorHAnsi"/>
                <w:b/>
                <w:bCs/>
                <w:sz w:val="21"/>
                <w:szCs w:val="21"/>
              </w:rPr>
            </w:pPr>
          </w:p>
        </w:tc>
      </w:tr>
      <w:tr w:rsidR="004D66F2" w14:paraId="21E6BD33" w14:textId="77777777" w:rsidTr="007D07EE">
        <w:trPr>
          <w:gridAfter w:val="1"/>
          <w:wAfter w:w="11" w:type="dxa"/>
        </w:trPr>
        <w:tc>
          <w:tcPr>
            <w:tcW w:w="1414" w:type="dxa"/>
          </w:tcPr>
          <w:p w14:paraId="2EDAB40F" w14:textId="77777777" w:rsidR="004D66F2" w:rsidRPr="009B2573" w:rsidRDefault="004D66F2" w:rsidP="004D66F2">
            <w:pPr>
              <w:rPr>
                <w:sz w:val="21"/>
                <w:szCs w:val="21"/>
              </w:rPr>
            </w:pPr>
          </w:p>
        </w:tc>
        <w:tc>
          <w:tcPr>
            <w:tcW w:w="5946" w:type="dxa"/>
          </w:tcPr>
          <w:p w14:paraId="173A7127" w14:textId="349F5192" w:rsidR="004D66F2" w:rsidRPr="009B2573" w:rsidRDefault="0085259C" w:rsidP="004D66F2">
            <w:pPr>
              <w:rPr>
                <w:rFonts w:cstheme="minorHAnsi"/>
                <w:sz w:val="21"/>
                <w:szCs w:val="21"/>
              </w:rPr>
            </w:pPr>
            <w:r w:rsidRPr="009B2573">
              <w:rPr>
                <w:rFonts w:cstheme="minorHAnsi"/>
                <w:sz w:val="21"/>
                <w:szCs w:val="21"/>
              </w:rPr>
              <w:t>Investment income (</w:t>
            </w:r>
            <w:r w:rsidR="006B2E36" w:rsidRPr="009B2573">
              <w:rPr>
                <w:rFonts w:cstheme="minorHAnsi"/>
                <w:sz w:val="21"/>
                <w:szCs w:val="21"/>
              </w:rPr>
              <w:t>e.g.</w:t>
            </w:r>
            <w:r w:rsidRPr="009B2573">
              <w:rPr>
                <w:rFonts w:cstheme="minorHAnsi"/>
                <w:sz w:val="21"/>
                <w:szCs w:val="21"/>
              </w:rPr>
              <w:t xml:space="preserve"> interest/</w:t>
            </w:r>
            <w:r w:rsidR="00FD3626">
              <w:rPr>
                <w:rFonts w:cstheme="minorHAnsi"/>
                <w:sz w:val="21"/>
                <w:szCs w:val="21"/>
              </w:rPr>
              <w:t>dividends</w:t>
            </w:r>
            <w:r w:rsidR="0087459A">
              <w:rPr>
                <w:rFonts w:cstheme="minorHAnsi"/>
                <w:sz w:val="21"/>
                <w:szCs w:val="21"/>
              </w:rPr>
              <w:t>)</w:t>
            </w:r>
          </w:p>
        </w:tc>
        <w:tc>
          <w:tcPr>
            <w:tcW w:w="1420" w:type="dxa"/>
          </w:tcPr>
          <w:p w14:paraId="3813A682" w14:textId="77777777" w:rsidR="004D66F2" w:rsidRPr="009B2573" w:rsidRDefault="004D66F2" w:rsidP="004D66F2">
            <w:pPr>
              <w:rPr>
                <w:rFonts w:cstheme="minorHAnsi"/>
                <w:sz w:val="21"/>
                <w:szCs w:val="21"/>
              </w:rPr>
            </w:pPr>
          </w:p>
        </w:tc>
        <w:tc>
          <w:tcPr>
            <w:tcW w:w="1414" w:type="dxa"/>
          </w:tcPr>
          <w:p w14:paraId="64E78BB0" w14:textId="77777777" w:rsidR="004D66F2" w:rsidRPr="009B2573" w:rsidRDefault="004D66F2" w:rsidP="004D66F2">
            <w:pPr>
              <w:rPr>
                <w:rFonts w:cstheme="minorHAnsi"/>
                <w:sz w:val="21"/>
                <w:szCs w:val="21"/>
              </w:rPr>
            </w:pPr>
          </w:p>
        </w:tc>
      </w:tr>
      <w:tr w:rsidR="004D66F2" w14:paraId="7D7D7495" w14:textId="77777777" w:rsidTr="007D07EE">
        <w:trPr>
          <w:gridAfter w:val="1"/>
          <w:wAfter w:w="11" w:type="dxa"/>
        </w:trPr>
        <w:tc>
          <w:tcPr>
            <w:tcW w:w="1414" w:type="dxa"/>
          </w:tcPr>
          <w:p w14:paraId="2BF51456" w14:textId="77777777" w:rsidR="004D66F2" w:rsidRPr="009B2573" w:rsidRDefault="004D66F2" w:rsidP="004D66F2">
            <w:pPr>
              <w:rPr>
                <w:sz w:val="21"/>
                <w:szCs w:val="21"/>
              </w:rPr>
            </w:pPr>
          </w:p>
        </w:tc>
        <w:tc>
          <w:tcPr>
            <w:tcW w:w="5946" w:type="dxa"/>
          </w:tcPr>
          <w:p w14:paraId="7419F3AB" w14:textId="37F2CE40" w:rsidR="004D66F2" w:rsidRPr="009B2573" w:rsidRDefault="0085259C" w:rsidP="004D66F2">
            <w:pPr>
              <w:rPr>
                <w:rFonts w:cstheme="minorHAnsi"/>
                <w:sz w:val="21"/>
                <w:szCs w:val="21"/>
              </w:rPr>
            </w:pPr>
            <w:r w:rsidRPr="009B2573">
              <w:rPr>
                <w:rFonts w:cstheme="minorHAnsi"/>
                <w:sz w:val="21"/>
                <w:szCs w:val="21"/>
              </w:rPr>
              <w:t>Other income (</w:t>
            </w:r>
            <w:r w:rsidR="006B2E36" w:rsidRPr="009B2573">
              <w:rPr>
                <w:rFonts w:cstheme="minorHAnsi"/>
                <w:sz w:val="21"/>
                <w:szCs w:val="21"/>
              </w:rPr>
              <w:t>e.g.</w:t>
            </w:r>
            <w:r w:rsidRPr="009B2573">
              <w:rPr>
                <w:rFonts w:cstheme="minorHAnsi"/>
                <w:sz w:val="21"/>
                <w:szCs w:val="21"/>
              </w:rPr>
              <w:t xml:space="preserve"> donations/grants)</w:t>
            </w:r>
          </w:p>
        </w:tc>
        <w:tc>
          <w:tcPr>
            <w:tcW w:w="1420" w:type="dxa"/>
          </w:tcPr>
          <w:p w14:paraId="22A5CB74" w14:textId="77777777" w:rsidR="004D66F2" w:rsidRPr="009B2573" w:rsidRDefault="004D66F2" w:rsidP="004D66F2">
            <w:pPr>
              <w:rPr>
                <w:rFonts w:cstheme="minorHAnsi"/>
                <w:sz w:val="21"/>
                <w:szCs w:val="21"/>
              </w:rPr>
            </w:pPr>
          </w:p>
        </w:tc>
        <w:tc>
          <w:tcPr>
            <w:tcW w:w="1414" w:type="dxa"/>
          </w:tcPr>
          <w:p w14:paraId="4D7ADD02" w14:textId="77777777" w:rsidR="004D66F2" w:rsidRPr="009B2573" w:rsidRDefault="004D66F2" w:rsidP="004D66F2">
            <w:pPr>
              <w:rPr>
                <w:rFonts w:cstheme="minorHAnsi"/>
                <w:sz w:val="21"/>
                <w:szCs w:val="21"/>
              </w:rPr>
            </w:pPr>
          </w:p>
        </w:tc>
      </w:tr>
      <w:tr w:rsidR="007C3487" w14:paraId="44088D2D" w14:textId="77777777" w:rsidTr="007D07EE">
        <w:trPr>
          <w:gridAfter w:val="1"/>
          <w:wAfter w:w="11" w:type="dxa"/>
        </w:trPr>
        <w:tc>
          <w:tcPr>
            <w:tcW w:w="1414" w:type="dxa"/>
            <w:shd w:val="clear" w:color="auto" w:fill="A1D3F1"/>
          </w:tcPr>
          <w:p w14:paraId="50EE76AF" w14:textId="129DEBB2" w:rsidR="007C3487" w:rsidRPr="009B2573" w:rsidRDefault="007C3487" w:rsidP="00C05FC8">
            <w:pPr>
              <w:spacing w:after="160" w:line="259" w:lineRule="auto"/>
              <w:rPr>
                <w:b/>
                <w:bCs/>
                <w:sz w:val="21"/>
                <w:szCs w:val="21"/>
              </w:rPr>
            </w:pPr>
            <w:r w:rsidRPr="009B2573">
              <w:rPr>
                <w:b/>
                <w:bCs/>
                <w:sz w:val="21"/>
                <w:szCs w:val="21"/>
              </w:rPr>
              <w:t>Total</w:t>
            </w:r>
          </w:p>
        </w:tc>
        <w:tc>
          <w:tcPr>
            <w:tcW w:w="5946" w:type="dxa"/>
            <w:shd w:val="clear" w:color="auto" w:fill="A1D3F1"/>
          </w:tcPr>
          <w:p w14:paraId="5BFF8406" w14:textId="25C18A94" w:rsidR="007C3487" w:rsidRPr="009B2573" w:rsidRDefault="007C3487" w:rsidP="00C05FC8">
            <w:pPr>
              <w:rPr>
                <w:rFonts w:cstheme="minorHAnsi"/>
                <w:b/>
                <w:bCs/>
                <w:sz w:val="21"/>
                <w:szCs w:val="21"/>
              </w:rPr>
            </w:pPr>
            <w:r w:rsidRPr="009B2573">
              <w:rPr>
                <w:rFonts w:cstheme="minorHAnsi"/>
                <w:b/>
                <w:bCs/>
                <w:sz w:val="21"/>
                <w:szCs w:val="21"/>
              </w:rPr>
              <w:t xml:space="preserve">TOTAL </w:t>
            </w:r>
            <w:r w:rsidR="003C5CF4" w:rsidRPr="009B2573">
              <w:rPr>
                <w:rFonts w:cstheme="minorHAnsi"/>
                <w:b/>
                <w:bCs/>
                <w:sz w:val="21"/>
                <w:szCs w:val="21"/>
              </w:rPr>
              <w:t>I</w:t>
            </w:r>
            <w:r w:rsidRPr="009B2573">
              <w:rPr>
                <w:rFonts w:cstheme="minorHAnsi"/>
                <w:b/>
                <w:bCs/>
                <w:sz w:val="21"/>
                <w:szCs w:val="21"/>
              </w:rPr>
              <w:t>NCOME</w:t>
            </w:r>
          </w:p>
          <w:p w14:paraId="674BE978" w14:textId="481D385F" w:rsidR="00C05FC8" w:rsidRPr="009B2573" w:rsidRDefault="00C05FC8" w:rsidP="00C05FC8">
            <w:pPr>
              <w:rPr>
                <w:rFonts w:cstheme="minorHAnsi"/>
                <w:b/>
                <w:bCs/>
                <w:sz w:val="21"/>
                <w:szCs w:val="21"/>
              </w:rPr>
            </w:pPr>
          </w:p>
        </w:tc>
        <w:tc>
          <w:tcPr>
            <w:tcW w:w="1420" w:type="dxa"/>
            <w:shd w:val="clear" w:color="auto" w:fill="A1D3F1"/>
          </w:tcPr>
          <w:p w14:paraId="66488EE3" w14:textId="4AE67448" w:rsidR="007C3487" w:rsidRPr="009B2573" w:rsidRDefault="00E34BCA" w:rsidP="002E0D5A">
            <w:pPr>
              <w:tabs>
                <w:tab w:val="center" w:pos="740"/>
              </w:tabs>
              <w:rPr>
                <w:rFonts w:cstheme="minorHAnsi"/>
                <w:b/>
                <w:bCs/>
                <w:sz w:val="21"/>
                <w:szCs w:val="21"/>
              </w:rPr>
            </w:pPr>
            <w:r w:rsidRPr="009B2573">
              <w:rPr>
                <w:rFonts w:cstheme="minorHAnsi"/>
                <w:b/>
                <w:bCs/>
                <w:sz w:val="21"/>
                <w:szCs w:val="21"/>
              </w:rPr>
              <w:t>£</w:t>
            </w:r>
            <w:r w:rsidR="002E0D5A">
              <w:rPr>
                <w:rFonts w:cstheme="minorHAnsi"/>
                <w:b/>
                <w:bCs/>
                <w:sz w:val="21"/>
                <w:szCs w:val="21"/>
              </w:rPr>
              <w:tab/>
            </w:r>
          </w:p>
        </w:tc>
        <w:tc>
          <w:tcPr>
            <w:tcW w:w="1414" w:type="dxa"/>
            <w:shd w:val="clear" w:color="auto" w:fill="A1D3F1"/>
          </w:tcPr>
          <w:p w14:paraId="089E82B2" w14:textId="737C0EB7" w:rsidR="007C3487" w:rsidRPr="009B2573" w:rsidRDefault="00E34BCA" w:rsidP="004E24CD">
            <w:pPr>
              <w:tabs>
                <w:tab w:val="center" w:pos="741"/>
              </w:tabs>
              <w:rPr>
                <w:rFonts w:cstheme="minorHAnsi"/>
                <w:b/>
                <w:bCs/>
                <w:sz w:val="21"/>
                <w:szCs w:val="21"/>
              </w:rPr>
            </w:pPr>
            <w:r w:rsidRPr="009B2573">
              <w:rPr>
                <w:rFonts w:cstheme="minorHAnsi"/>
                <w:b/>
                <w:bCs/>
                <w:sz w:val="21"/>
                <w:szCs w:val="21"/>
              </w:rPr>
              <w:t>£</w:t>
            </w:r>
            <w:r w:rsidR="004E24CD">
              <w:rPr>
                <w:rFonts w:cstheme="minorHAnsi"/>
                <w:b/>
                <w:bCs/>
                <w:sz w:val="21"/>
                <w:szCs w:val="21"/>
              </w:rPr>
              <w:tab/>
            </w:r>
          </w:p>
        </w:tc>
      </w:tr>
      <w:tr w:rsidR="004D66F2" w14:paraId="5683FC3C" w14:textId="77777777" w:rsidTr="007D07EE">
        <w:trPr>
          <w:gridAfter w:val="1"/>
          <w:wAfter w:w="11" w:type="dxa"/>
        </w:trPr>
        <w:tc>
          <w:tcPr>
            <w:tcW w:w="1414" w:type="dxa"/>
            <w:shd w:val="clear" w:color="auto" w:fill="D3A1CB"/>
          </w:tcPr>
          <w:p w14:paraId="369FFFB4" w14:textId="631AC5D5" w:rsidR="00EC5CF5" w:rsidRPr="009B2573" w:rsidRDefault="00EC5CF5" w:rsidP="00EC5CF5">
            <w:pPr>
              <w:rPr>
                <w:b/>
                <w:bCs/>
                <w:sz w:val="21"/>
                <w:szCs w:val="21"/>
              </w:rPr>
            </w:pPr>
          </w:p>
          <w:p w14:paraId="3BE15A92" w14:textId="5BE961F3" w:rsidR="004D66F2" w:rsidRPr="009B2573" w:rsidRDefault="004D66F2" w:rsidP="004D66F2">
            <w:pPr>
              <w:rPr>
                <w:sz w:val="21"/>
                <w:szCs w:val="21"/>
              </w:rPr>
            </w:pPr>
          </w:p>
        </w:tc>
        <w:tc>
          <w:tcPr>
            <w:tcW w:w="5946" w:type="dxa"/>
            <w:shd w:val="clear" w:color="auto" w:fill="D3A1CB"/>
          </w:tcPr>
          <w:p w14:paraId="746C8353" w14:textId="05FAEA4E" w:rsidR="004D66F2" w:rsidRPr="009B2573" w:rsidRDefault="003C5CF4" w:rsidP="004D66F2">
            <w:pPr>
              <w:rPr>
                <w:rFonts w:cstheme="minorHAnsi"/>
                <w:b/>
                <w:bCs/>
                <w:sz w:val="21"/>
                <w:szCs w:val="21"/>
              </w:rPr>
            </w:pPr>
            <w:r w:rsidRPr="009B2573">
              <w:rPr>
                <w:rFonts w:cstheme="minorHAnsi"/>
                <w:b/>
                <w:bCs/>
                <w:sz w:val="21"/>
                <w:szCs w:val="21"/>
              </w:rPr>
              <w:t xml:space="preserve">OPERATING CASH FLOWS - </w:t>
            </w:r>
            <w:r w:rsidR="0085259C" w:rsidRPr="009B2573">
              <w:rPr>
                <w:rFonts w:cstheme="minorHAnsi"/>
                <w:b/>
                <w:bCs/>
                <w:sz w:val="21"/>
                <w:szCs w:val="21"/>
              </w:rPr>
              <w:t>EXPENDITURE</w:t>
            </w:r>
          </w:p>
          <w:p w14:paraId="4F5C5846" w14:textId="642438C6" w:rsidR="0085259C" w:rsidRPr="009B2573" w:rsidRDefault="0085259C" w:rsidP="004D66F2">
            <w:pPr>
              <w:rPr>
                <w:rFonts w:cstheme="minorHAnsi"/>
                <w:sz w:val="21"/>
                <w:szCs w:val="21"/>
              </w:rPr>
            </w:pPr>
          </w:p>
        </w:tc>
        <w:tc>
          <w:tcPr>
            <w:tcW w:w="1420" w:type="dxa"/>
            <w:shd w:val="clear" w:color="auto" w:fill="D3A1CB"/>
          </w:tcPr>
          <w:p w14:paraId="37E91CAE" w14:textId="77777777" w:rsidR="004D66F2" w:rsidRPr="009B2573" w:rsidRDefault="004D66F2" w:rsidP="004D66F2">
            <w:pPr>
              <w:rPr>
                <w:rFonts w:cstheme="minorHAnsi"/>
                <w:sz w:val="21"/>
                <w:szCs w:val="21"/>
              </w:rPr>
            </w:pPr>
          </w:p>
          <w:p w14:paraId="24B348FA" w14:textId="45600D93" w:rsidR="00EC5CF5" w:rsidRPr="009B2573" w:rsidRDefault="00EC5CF5" w:rsidP="004D66F2">
            <w:pPr>
              <w:rPr>
                <w:rFonts w:cstheme="minorHAnsi"/>
                <w:sz w:val="21"/>
                <w:szCs w:val="21"/>
              </w:rPr>
            </w:pPr>
          </w:p>
        </w:tc>
        <w:tc>
          <w:tcPr>
            <w:tcW w:w="1414" w:type="dxa"/>
            <w:shd w:val="clear" w:color="auto" w:fill="D3A1CB"/>
          </w:tcPr>
          <w:p w14:paraId="556802E1" w14:textId="4B8E8C0F" w:rsidR="004D66F2" w:rsidRPr="009B2573" w:rsidRDefault="004D66F2" w:rsidP="004D66F2">
            <w:pPr>
              <w:rPr>
                <w:rFonts w:cstheme="minorHAnsi"/>
                <w:sz w:val="21"/>
                <w:szCs w:val="21"/>
              </w:rPr>
            </w:pPr>
          </w:p>
          <w:p w14:paraId="0D03669B" w14:textId="2330981A" w:rsidR="00EC5CF5" w:rsidRPr="009B2573" w:rsidRDefault="00EC5CF5" w:rsidP="004D66F2">
            <w:pPr>
              <w:rPr>
                <w:rFonts w:cstheme="minorHAnsi"/>
                <w:sz w:val="21"/>
                <w:szCs w:val="21"/>
              </w:rPr>
            </w:pPr>
          </w:p>
        </w:tc>
      </w:tr>
      <w:tr w:rsidR="00EC5CF5" w14:paraId="3A517151" w14:textId="77777777" w:rsidTr="007D07EE">
        <w:trPr>
          <w:gridAfter w:val="1"/>
          <w:wAfter w:w="11" w:type="dxa"/>
        </w:trPr>
        <w:tc>
          <w:tcPr>
            <w:tcW w:w="1414" w:type="dxa"/>
            <w:shd w:val="clear" w:color="auto" w:fill="D0CECE" w:themeFill="background2" w:themeFillShade="E6"/>
          </w:tcPr>
          <w:p w14:paraId="39336FCD" w14:textId="77777777" w:rsidR="00EC5CF5" w:rsidRPr="009B2573" w:rsidRDefault="00EC5CF5" w:rsidP="00EC5CF5">
            <w:pPr>
              <w:rPr>
                <w:sz w:val="21"/>
                <w:szCs w:val="21"/>
              </w:rPr>
            </w:pPr>
          </w:p>
        </w:tc>
        <w:tc>
          <w:tcPr>
            <w:tcW w:w="59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0554E970" w14:textId="679FB3CE" w:rsidR="00EC5CF5" w:rsidRPr="009B2573" w:rsidRDefault="00EC5CF5" w:rsidP="00EC5CF5">
            <w:pPr>
              <w:rPr>
                <w:rFonts w:cstheme="minorHAnsi"/>
                <w:sz w:val="21"/>
                <w:szCs w:val="21"/>
              </w:rPr>
            </w:pPr>
            <w:r w:rsidRPr="009B2573">
              <w:rPr>
                <w:rFonts w:cstheme="minorHAnsi"/>
                <w:b/>
                <w:bCs/>
                <w:color w:val="000000"/>
                <w:sz w:val="21"/>
                <w:szCs w:val="21"/>
              </w:rPr>
              <w:t xml:space="preserve">Management expenditure </w:t>
            </w:r>
          </w:p>
        </w:tc>
        <w:tc>
          <w:tcPr>
            <w:tcW w:w="1420" w:type="dxa"/>
            <w:shd w:val="clear" w:color="auto" w:fill="D0CECE" w:themeFill="background2" w:themeFillShade="E6"/>
          </w:tcPr>
          <w:p w14:paraId="258C18A0" w14:textId="77777777" w:rsidR="00EC5CF5" w:rsidRPr="009B2573" w:rsidRDefault="00EC5CF5" w:rsidP="00EC5CF5">
            <w:pPr>
              <w:rPr>
                <w:rFonts w:cstheme="minorHAnsi"/>
                <w:sz w:val="21"/>
                <w:szCs w:val="21"/>
              </w:rPr>
            </w:pPr>
          </w:p>
        </w:tc>
        <w:tc>
          <w:tcPr>
            <w:tcW w:w="1414" w:type="dxa"/>
            <w:shd w:val="clear" w:color="auto" w:fill="D0CECE" w:themeFill="background2" w:themeFillShade="E6"/>
          </w:tcPr>
          <w:p w14:paraId="0A9968AD" w14:textId="77777777" w:rsidR="00EC5CF5" w:rsidRPr="009B2573" w:rsidRDefault="00EC5CF5" w:rsidP="00EC5CF5">
            <w:pPr>
              <w:rPr>
                <w:rFonts w:cstheme="minorHAnsi"/>
                <w:sz w:val="21"/>
                <w:szCs w:val="21"/>
              </w:rPr>
            </w:pPr>
          </w:p>
        </w:tc>
      </w:tr>
      <w:tr w:rsidR="00EC5CF5" w14:paraId="0EAFDAB2" w14:textId="77777777" w:rsidTr="007D07EE">
        <w:trPr>
          <w:gridAfter w:val="1"/>
          <w:wAfter w:w="11" w:type="dxa"/>
        </w:trPr>
        <w:tc>
          <w:tcPr>
            <w:tcW w:w="1414" w:type="dxa"/>
          </w:tcPr>
          <w:p w14:paraId="6174FA4E" w14:textId="77777777" w:rsidR="00EC5CF5" w:rsidRPr="009B2573" w:rsidRDefault="00EC5CF5" w:rsidP="00EC5CF5">
            <w:pPr>
              <w:rPr>
                <w:sz w:val="21"/>
                <w:szCs w:val="21"/>
              </w:rPr>
            </w:pPr>
          </w:p>
        </w:tc>
        <w:tc>
          <w:tcPr>
            <w:tcW w:w="5946" w:type="dxa"/>
            <w:tcBorders>
              <w:top w:val="nil"/>
              <w:left w:val="single" w:sz="4" w:space="0" w:color="auto"/>
              <w:bottom w:val="single" w:sz="4" w:space="0" w:color="auto"/>
              <w:right w:val="single" w:sz="4" w:space="0" w:color="auto"/>
            </w:tcBorders>
            <w:vAlign w:val="bottom"/>
          </w:tcPr>
          <w:p w14:paraId="5FB35FEB" w14:textId="66358170" w:rsidR="00EC5CF5" w:rsidRPr="009B2573" w:rsidRDefault="00EC5CF5" w:rsidP="00EC5CF5">
            <w:pPr>
              <w:rPr>
                <w:rFonts w:cstheme="minorHAnsi"/>
                <w:sz w:val="21"/>
                <w:szCs w:val="21"/>
              </w:rPr>
            </w:pPr>
            <w:r w:rsidRPr="009B2573">
              <w:rPr>
                <w:rFonts w:cstheme="minorHAnsi"/>
                <w:color w:val="000000"/>
                <w:sz w:val="21"/>
                <w:szCs w:val="21"/>
              </w:rPr>
              <w:t>Salaries (</w:t>
            </w:r>
            <w:r w:rsidR="006B2E36" w:rsidRPr="009B2573">
              <w:rPr>
                <w:rFonts w:cstheme="minorHAnsi"/>
                <w:color w:val="000000"/>
                <w:sz w:val="21"/>
                <w:szCs w:val="21"/>
              </w:rPr>
              <w:t>e.g.</w:t>
            </w:r>
            <w:r w:rsidRPr="009B2573">
              <w:rPr>
                <w:rFonts w:cstheme="minorHAnsi"/>
                <w:color w:val="000000"/>
                <w:sz w:val="21"/>
                <w:szCs w:val="21"/>
              </w:rPr>
              <w:t xml:space="preserve"> warden/treasurer/administrative staff/other)</w:t>
            </w:r>
          </w:p>
        </w:tc>
        <w:tc>
          <w:tcPr>
            <w:tcW w:w="1420" w:type="dxa"/>
          </w:tcPr>
          <w:p w14:paraId="7F73B58D" w14:textId="77777777" w:rsidR="00EC5CF5" w:rsidRPr="009B2573" w:rsidRDefault="00EC5CF5" w:rsidP="00EC5CF5">
            <w:pPr>
              <w:rPr>
                <w:rFonts w:cstheme="minorHAnsi"/>
                <w:sz w:val="21"/>
                <w:szCs w:val="21"/>
              </w:rPr>
            </w:pPr>
          </w:p>
        </w:tc>
        <w:tc>
          <w:tcPr>
            <w:tcW w:w="1414" w:type="dxa"/>
          </w:tcPr>
          <w:p w14:paraId="1508D3BE" w14:textId="77777777" w:rsidR="00EC5CF5" w:rsidRPr="009B2573" w:rsidRDefault="00EC5CF5" w:rsidP="00EC5CF5">
            <w:pPr>
              <w:rPr>
                <w:rFonts w:cstheme="minorHAnsi"/>
                <w:sz w:val="21"/>
                <w:szCs w:val="21"/>
              </w:rPr>
            </w:pPr>
          </w:p>
        </w:tc>
      </w:tr>
      <w:tr w:rsidR="00EC5CF5" w14:paraId="7CCDD985" w14:textId="77777777" w:rsidTr="007D07EE">
        <w:trPr>
          <w:gridAfter w:val="1"/>
          <w:wAfter w:w="11" w:type="dxa"/>
        </w:trPr>
        <w:tc>
          <w:tcPr>
            <w:tcW w:w="1414" w:type="dxa"/>
          </w:tcPr>
          <w:p w14:paraId="0B659AC3" w14:textId="77777777" w:rsidR="00EC5CF5" w:rsidRPr="009B2573" w:rsidRDefault="00EC5CF5" w:rsidP="00EC5CF5">
            <w:pPr>
              <w:rPr>
                <w:sz w:val="21"/>
                <w:szCs w:val="21"/>
              </w:rPr>
            </w:pPr>
          </w:p>
        </w:tc>
        <w:tc>
          <w:tcPr>
            <w:tcW w:w="5946" w:type="dxa"/>
            <w:tcBorders>
              <w:top w:val="nil"/>
              <w:left w:val="single" w:sz="4" w:space="0" w:color="auto"/>
              <w:bottom w:val="single" w:sz="4" w:space="0" w:color="auto"/>
              <w:right w:val="single" w:sz="4" w:space="0" w:color="auto"/>
            </w:tcBorders>
            <w:vAlign w:val="bottom"/>
          </w:tcPr>
          <w:p w14:paraId="53EED1E0" w14:textId="26F98313" w:rsidR="00EC5CF5" w:rsidRPr="009B2573" w:rsidRDefault="00EC5CF5" w:rsidP="00EC5CF5">
            <w:pPr>
              <w:rPr>
                <w:rFonts w:cstheme="minorHAnsi"/>
                <w:sz w:val="21"/>
                <w:szCs w:val="21"/>
              </w:rPr>
            </w:pPr>
            <w:r w:rsidRPr="009B2573">
              <w:rPr>
                <w:rFonts w:cstheme="minorHAnsi"/>
                <w:color w:val="000000"/>
                <w:sz w:val="21"/>
                <w:szCs w:val="21"/>
              </w:rPr>
              <w:t xml:space="preserve">Accounting and </w:t>
            </w:r>
            <w:r w:rsidR="007D2FB4">
              <w:rPr>
                <w:rFonts w:cstheme="minorHAnsi"/>
                <w:color w:val="000000"/>
                <w:sz w:val="21"/>
                <w:szCs w:val="21"/>
              </w:rPr>
              <w:t>a</w:t>
            </w:r>
            <w:r w:rsidRPr="009B2573">
              <w:rPr>
                <w:rFonts w:cstheme="minorHAnsi"/>
                <w:color w:val="000000"/>
                <w:sz w:val="21"/>
                <w:szCs w:val="21"/>
              </w:rPr>
              <w:t>udit</w:t>
            </w:r>
          </w:p>
        </w:tc>
        <w:tc>
          <w:tcPr>
            <w:tcW w:w="1420" w:type="dxa"/>
          </w:tcPr>
          <w:p w14:paraId="0BF67092" w14:textId="77777777" w:rsidR="00EC5CF5" w:rsidRPr="009B2573" w:rsidRDefault="00EC5CF5" w:rsidP="00EC5CF5">
            <w:pPr>
              <w:rPr>
                <w:rFonts w:cstheme="minorHAnsi"/>
                <w:sz w:val="21"/>
                <w:szCs w:val="21"/>
              </w:rPr>
            </w:pPr>
          </w:p>
        </w:tc>
        <w:tc>
          <w:tcPr>
            <w:tcW w:w="1414" w:type="dxa"/>
          </w:tcPr>
          <w:p w14:paraId="08493DA0" w14:textId="77777777" w:rsidR="00EC5CF5" w:rsidRPr="009B2573" w:rsidRDefault="00EC5CF5" w:rsidP="009E7E60">
            <w:pPr>
              <w:jc w:val="center"/>
              <w:rPr>
                <w:rFonts w:cstheme="minorHAnsi"/>
                <w:sz w:val="21"/>
                <w:szCs w:val="21"/>
              </w:rPr>
            </w:pPr>
          </w:p>
        </w:tc>
      </w:tr>
      <w:tr w:rsidR="00EC5CF5" w14:paraId="1539224D" w14:textId="77777777" w:rsidTr="007D07EE">
        <w:trPr>
          <w:gridAfter w:val="1"/>
          <w:wAfter w:w="11" w:type="dxa"/>
        </w:trPr>
        <w:tc>
          <w:tcPr>
            <w:tcW w:w="1414" w:type="dxa"/>
          </w:tcPr>
          <w:p w14:paraId="001EBE94" w14:textId="77777777" w:rsidR="00EC5CF5" w:rsidRPr="009B2573" w:rsidRDefault="00EC5CF5" w:rsidP="00EC5CF5">
            <w:pPr>
              <w:rPr>
                <w:sz w:val="21"/>
                <w:szCs w:val="21"/>
              </w:rPr>
            </w:pPr>
          </w:p>
        </w:tc>
        <w:tc>
          <w:tcPr>
            <w:tcW w:w="5946" w:type="dxa"/>
            <w:tcBorders>
              <w:top w:val="nil"/>
              <w:left w:val="single" w:sz="4" w:space="0" w:color="auto"/>
              <w:bottom w:val="single" w:sz="4" w:space="0" w:color="auto"/>
              <w:right w:val="single" w:sz="4" w:space="0" w:color="auto"/>
            </w:tcBorders>
            <w:vAlign w:val="bottom"/>
          </w:tcPr>
          <w:p w14:paraId="3681DF99" w14:textId="3A97B43B" w:rsidR="00EC5CF5" w:rsidRPr="009B2573" w:rsidRDefault="002D2D7A" w:rsidP="00EC5CF5">
            <w:pPr>
              <w:rPr>
                <w:rFonts w:cstheme="minorHAnsi"/>
                <w:sz w:val="21"/>
                <w:szCs w:val="21"/>
              </w:rPr>
            </w:pPr>
            <w:r>
              <w:rPr>
                <w:rFonts w:cstheme="minorHAnsi"/>
                <w:color w:val="000000"/>
                <w:sz w:val="21"/>
                <w:szCs w:val="21"/>
              </w:rPr>
              <w:t>I</w:t>
            </w:r>
            <w:r w:rsidR="00EC5CF5" w:rsidRPr="009B2573">
              <w:rPr>
                <w:rFonts w:cstheme="minorHAnsi"/>
                <w:color w:val="000000"/>
                <w:sz w:val="21"/>
                <w:szCs w:val="21"/>
              </w:rPr>
              <w:t>nsurance</w:t>
            </w:r>
          </w:p>
        </w:tc>
        <w:tc>
          <w:tcPr>
            <w:tcW w:w="1420" w:type="dxa"/>
          </w:tcPr>
          <w:p w14:paraId="2F6BD464" w14:textId="77777777" w:rsidR="00EC5CF5" w:rsidRPr="009B2573" w:rsidRDefault="00EC5CF5" w:rsidP="00EC5CF5">
            <w:pPr>
              <w:rPr>
                <w:rFonts w:cstheme="minorHAnsi"/>
                <w:sz w:val="21"/>
                <w:szCs w:val="21"/>
              </w:rPr>
            </w:pPr>
          </w:p>
        </w:tc>
        <w:tc>
          <w:tcPr>
            <w:tcW w:w="1414" w:type="dxa"/>
          </w:tcPr>
          <w:p w14:paraId="56BFC017" w14:textId="77777777" w:rsidR="00EC5CF5" w:rsidRPr="009B2573" w:rsidRDefault="00EC5CF5" w:rsidP="00EC5CF5">
            <w:pPr>
              <w:rPr>
                <w:rFonts w:cstheme="minorHAnsi"/>
                <w:sz w:val="21"/>
                <w:szCs w:val="21"/>
              </w:rPr>
            </w:pPr>
          </w:p>
        </w:tc>
      </w:tr>
      <w:tr w:rsidR="00EC5CF5" w14:paraId="51F410B1" w14:textId="77777777" w:rsidTr="007D07EE">
        <w:trPr>
          <w:gridAfter w:val="1"/>
          <w:wAfter w:w="11" w:type="dxa"/>
        </w:trPr>
        <w:tc>
          <w:tcPr>
            <w:tcW w:w="1414" w:type="dxa"/>
          </w:tcPr>
          <w:p w14:paraId="4BE5A5AF" w14:textId="77777777" w:rsidR="00EC5CF5" w:rsidRPr="009B2573" w:rsidRDefault="00EC5CF5" w:rsidP="00EC5CF5">
            <w:pPr>
              <w:rPr>
                <w:sz w:val="21"/>
                <w:szCs w:val="21"/>
              </w:rPr>
            </w:pPr>
          </w:p>
        </w:tc>
        <w:tc>
          <w:tcPr>
            <w:tcW w:w="5946" w:type="dxa"/>
            <w:tcBorders>
              <w:top w:val="nil"/>
              <w:left w:val="single" w:sz="4" w:space="0" w:color="auto"/>
              <w:bottom w:val="single" w:sz="4" w:space="0" w:color="auto"/>
              <w:right w:val="single" w:sz="4" w:space="0" w:color="auto"/>
            </w:tcBorders>
            <w:vAlign w:val="bottom"/>
          </w:tcPr>
          <w:p w14:paraId="44120FE1" w14:textId="2B28443C" w:rsidR="00EC5CF5" w:rsidRPr="009B2573" w:rsidRDefault="002D2D7A" w:rsidP="00EC5CF5">
            <w:pPr>
              <w:rPr>
                <w:rFonts w:cstheme="minorHAnsi"/>
                <w:sz w:val="21"/>
                <w:szCs w:val="21"/>
              </w:rPr>
            </w:pPr>
            <w:r>
              <w:rPr>
                <w:rFonts w:cstheme="minorHAnsi"/>
                <w:color w:val="000000"/>
                <w:sz w:val="21"/>
                <w:szCs w:val="21"/>
              </w:rPr>
              <w:t>S</w:t>
            </w:r>
            <w:r w:rsidR="00EC5CF5" w:rsidRPr="009B2573">
              <w:rPr>
                <w:rFonts w:cstheme="minorHAnsi"/>
                <w:color w:val="000000"/>
                <w:sz w:val="21"/>
                <w:szCs w:val="21"/>
              </w:rPr>
              <w:t>ubscription</w:t>
            </w:r>
            <w:r>
              <w:rPr>
                <w:rFonts w:cstheme="minorHAnsi"/>
                <w:color w:val="000000"/>
                <w:sz w:val="21"/>
                <w:szCs w:val="21"/>
              </w:rPr>
              <w:t>s (e.g. Almshouse Association/RSH)</w:t>
            </w:r>
          </w:p>
        </w:tc>
        <w:tc>
          <w:tcPr>
            <w:tcW w:w="1420" w:type="dxa"/>
          </w:tcPr>
          <w:p w14:paraId="03F7F466" w14:textId="77777777" w:rsidR="00EC5CF5" w:rsidRPr="009B2573" w:rsidRDefault="00EC5CF5" w:rsidP="00EC5CF5">
            <w:pPr>
              <w:rPr>
                <w:rFonts w:cstheme="minorHAnsi"/>
                <w:sz w:val="21"/>
                <w:szCs w:val="21"/>
              </w:rPr>
            </w:pPr>
          </w:p>
        </w:tc>
        <w:tc>
          <w:tcPr>
            <w:tcW w:w="1414" w:type="dxa"/>
          </w:tcPr>
          <w:p w14:paraId="5A678F5F" w14:textId="77777777" w:rsidR="00EC5CF5" w:rsidRPr="009B2573" w:rsidRDefault="00EC5CF5" w:rsidP="00EC5CF5">
            <w:pPr>
              <w:rPr>
                <w:rFonts w:cstheme="minorHAnsi"/>
                <w:sz w:val="21"/>
                <w:szCs w:val="21"/>
              </w:rPr>
            </w:pPr>
          </w:p>
        </w:tc>
      </w:tr>
      <w:tr w:rsidR="00EC5CF5" w14:paraId="5F785228" w14:textId="77777777" w:rsidTr="007D07EE">
        <w:trPr>
          <w:gridAfter w:val="1"/>
          <w:wAfter w:w="11" w:type="dxa"/>
        </w:trPr>
        <w:tc>
          <w:tcPr>
            <w:tcW w:w="1414" w:type="dxa"/>
          </w:tcPr>
          <w:p w14:paraId="1B3146B2" w14:textId="77777777" w:rsidR="00EC5CF5" w:rsidRPr="009B2573" w:rsidRDefault="00EC5CF5" w:rsidP="00EC5CF5">
            <w:pPr>
              <w:rPr>
                <w:sz w:val="21"/>
                <w:szCs w:val="21"/>
              </w:rPr>
            </w:pPr>
          </w:p>
        </w:tc>
        <w:tc>
          <w:tcPr>
            <w:tcW w:w="5946" w:type="dxa"/>
            <w:tcBorders>
              <w:top w:val="nil"/>
              <w:left w:val="single" w:sz="4" w:space="0" w:color="auto"/>
              <w:bottom w:val="single" w:sz="4" w:space="0" w:color="auto"/>
              <w:right w:val="single" w:sz="4" w:space="0" w:color="auto"/>
            </w:tcBorders>
            <w:vAlign w:val="bottom"/>
          </w:tcPr>
          <w:p w14:paraId="4C71DFD3" w14:textId="195A7D62" w:rsidR="00EC5CF5" w:rsidRPr="009B2573" w:rsidRDefault="00EC5CF5" w:rsidP="00EC5CF5">
            <w:pPr>
              <w:rPr>
                <w:rFonts w:cstheme="minorHAnsi"/>
                <w:sz w:val="21"/>
                <w:szCs w:val="21"/>
              </w:rPr>
            </w:pPr>
            <w:r w:rsidRPr="009B2573">
              <w:rPr>
                <w:rFonts w:cstheme="minorHAnsi"/>
                <w:color w:val="000000"/>
                <w:sz w:val="21"/>
                <w:szCs w:val="21"/>
              </w:rPr>
              <w:t>Other management expenditure</w:t>
            </w:r>
          </w:p>
        </w:tc>
        <w:tc>
          <w:tcPr>
            <w:tcW w:w="1420" w:type="dxa"/>
          </w:tcPr>
          <w:p w14:paraId="47A46E3B" w14:textId="77777777" w:rsidR="00EC5CF5" w:rsidRPr="009B2573" w:rsidRDefault="00EC5CF5" w:rsidP="00EC5CF5">
            <w:pPr>
              <w:rPr>
                <w:rFonts w:cstheme="minorHAnsi"/>
                <w:sz w:val="21"/>
                <w:szCs w:val="21"/>
              </w:rPr>
            </w:pPr>
          </w:p>
        </w:tc>
        <w:tc>
          <w:tcPr>
            <w:tcW w:w="1414" w:type="dxa"/>
          </w:tcPr>
          <w:p w14:paraId="0A259957" w14:textId="77777777" w:rsidR="00EC5CF5" w:rsidRPr="009B2573" w:rsidRDefault="00EC5CF5" w:rsidP="00EC5CF5">
            <w:pPr>
              <w:rPr>
                <w:rFonts w:cstheme="minorHAnsi"/>
                <w:sz w:val="21"/>
                <w:szCs w:val="21"/>
              </w:rPr>
            </w:pPr>
          </w:p>
        </w:tc>
      </w:tr>
      <w:tr w:rsidR="00EC5CF5" w14:paraId="5A9CDB04" w14:textId="77777777" w:rsidTr="007D07EE">
        <w:trPr>
          <w:gridAfter w:val="1"/>
          <w:wAfter w:w="11" w:type="dxa"/>
        </w:trPr>
        <w:tc>
          <w:tcPr>
            <w:tcW w:w="1414" w:type="dxa"/>
          </w:tcPr>
          <w:p w14:paraId="004B6998" w14:textId="25DF0CC1" w:rsidR="00EC5CF5" w:rsidRPr="009B2573" w:rsidRDefault="00EC5CF5" w:rsidP="00EC5CF5">
            <w:pPr>
              <w:rPr>
                <w:b/>
                <w:bCs/>
                <w:sz w:val="21"/>
                <w:szCs w:val="21"/>
              </w:rPr>
            </w:pPr>
            <w:r w:rsidRPr="009B2573">
              <w:rPr>
                <w:b/>
                <w:bCs/>
                <w:sz w:val="21"/>
                <w:szCs w:val="21"/>
              </w:rPr>
              <w:t>Sub total</w:t>
            </w:r>
          </w:p>
        </w:tc>
        <w:tc>
          <w:tcPr>
            <w:tcW w:w="5946" w:type="dxa"/>
          </w:tcPr>
          <w:p w14:paraId="681E9773" w14:textId="638E6044" w:rsidR="00EC5CF5" w:rsidRPr="009B2573" w:rsidRDefault="00EC5CF5" w:rsidP="00EC5CF5">
            <w:pPr>
              <w:rPr>
                <w:rFonts w:cstheme="minorHAnsi"/>
                <w:b/>
                <w:bCs/>
                <w:sz w:val="21"/>
                <w:szCs w:val="21"/>
              </w:rPr>
            </w:pPr>
            <w:r w:rsidRPr="009B2573">
              <w:rPr>
                <w:rFonts w:cstheme="minorHAnsi"/>
                <w:b/>
                <w:bCs/>
                <w:sz w:val="21"/>
                <w:szCs w:val="21"/>
              </w:rPr>
              <w:t>Total management expenditure</w:t>
            </w:r>
          </w:p>
        </w:tc>
        <w:tc>
          <w:tcPr>
            <w:tcW w:w="1420" w:type="dxa"/>
          </w:tcPr>
          <w:p w14:paraId="78A50F8F" w14:textId="74D16517" w:rsidR="00EC5CF5" w:rsidRPr="009B2573" w:rsidRDefault="00E34BCA" w:rsidP="00EC5CF5">
            <w:pPr>
              <w:rPr>
                <w:rFonts w:cstheme="minorHAnsi"/>
                <w:b/>
                <w:bCs/>
                <w:sz w:val="21"/>
                <w:szCs w:val="21"/>
              </w:rPr>
            </w:pPr>
            <w:r w:rsidRPr="009B2573">
              <w:rPr>
                <w:rFonts w:cstheme="minorHAnsi"/>
                <w:b/>
                <w:bCs/>
                <w:sz w:val="21"/>
                <w:szCs w:val="21"/>
              </w:rPr>
              <w:t>£</w:t>
            </w:r>
          </w:p>
        </w:tc>
        <w:tc>
          <w:tcPr>
            <w:tcW w:w="1414" w:type="dxa"/>
          </w:tcPr>
          <w:p w14:paraId="6F52E80B" w14:textId="20201C5E" w:rsidR="00EC5CF5" w:rsidRPr="009B2573" w:rsidRDefault="00E34BCA" w:rsidP="00EC5CF5">
            <w:pPr>
              <w:rPr>
                <w:rFonts w:cstheme="minorHAnsi"/>
                <w:b/>
                <w:bCs/>
                <w:sz w:val="21"/>
                <w:szCs w:val="21"/>
              </w:rPr>
            </w:pPr>
            <w:r w:rsidRPr="009B2573">
              <w:rPr>
                <w:rFonts w:cstheme="minorHAnsi"/>
                <w:b/>
                <w:bCs/>
                <w:sz w:val="21"/>
                <w:szCs w:val="21"/>
              </w:rPr>
              <w:t>£</w:t>
            </w:r>
          </w:p>
        </w:tc>
      </w:tr>
      <w:tr w:rsidR="00EC5CF5" w14:paraId="7999DD89" w14:textId="77777777" w:rsidTr="007D07EE">
        <w:trPr>
          <w:gridAfter w:val="1"/>
          <w:wAfter w:w="11" w:type="dxa"/>
        </w:trPr>
        <w:tc>
          <w:tcPr>
            <w:tcW w:w="1414" w:type="dxa"/>
            <w:shd w:val="clear" w:color="auto" w:fill="D0CECE" w:themeFill="background2" w:themeFillShade="E6"/>
          </w:tcPr>
          <w:p w14:paraId="4E8B0D62" w14:textId="77777777" w:rsidR="00EC5CF5" w:rsidRPr="009B2573" w:rsidRDefault="00EC5CF5" w:rsidP="00EC5CF5">
            <w:pPr>
              <w:rPr>
                <w:sz w:val="21"/>
                <w:szCs w:val="21"/>
              </w:rPr>
            </w:pPr>
          </w:p>
        </w:tc>
        <w:tc>
          <w:tcPr>
            <w:tcW w:w="59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478D35C7" w14:textId="74C1C4C4" w:rsidR="00EC5CF5" w:rsidRPr="009B2573" w:rsidRDefault="00EC5CF5" w:rsidP="00EC5CF5">
            <w:pPr>
              <w:rPr>
                <w:rFonts w:cstheme="minorHAnsi"/>
                <w:sz w:val="21"/>
                <w:szCs w:val="21"/>
              </w:rPr>
            </w:pPr>
            <w:r w:rsidRPr="009B2573">
              <w:rPr>
                <w:rFonts w:cstheme="minorHAnsi"/>
                <w:b/>
                <w:bCs/>
                <w:color w:val="000000"/>
                <w:sz w:val="21"/>
                <w:szCs w:val="21"/>
              </w:rPr>
              <w:t>Maintenance expenditure</w:t>
            </w:r>
          </w:p>
        </w:tc>
        <w:tc>
          <w:tcPr>
            <w:tcW w:w="1420" w:type="dxa"/>
            <w:shd w:val="clear" w:color="auto" w:fill="D0CECE" w:themeFill="background2" w:themeFillShade="E6"/>
          </w:tcPr>
          <w:p w14:paraId="0F54F095" w14:textId="77777777" w:rsidR="00EC5CF5" w:rsidRPr="009B2573" w:rsidRDefault="00EC5CF5" w:rsidP="00EC5CF5">
            <w:pPr>
              <w:rPr>
                <w:rFonts w:cstheme="minorHAnsi"/>
                <w:sz w:val="21"/>
                <w:szCs w:val="21"/>
              </w:rPr>
            </w:pPr>
          </w:p>
        </w:tc>
        <w:tc>
          <w:tcPr>
            <w:tcW w:w="1414" w:type="dxa"/>
            <w:shd w:val="clear" w:color="auto" w:fill="D0CECE" w:themeFill="background2" w:themeFillShade="E6"/>
          </w:tcPr>
          <w:p w14:paraId="489E3D13" w14:textId="77777777" w:rsidR="00EC5CF5" w:rsidRPr="009B2573" w:rsidRDefault="00EC5CF5" w:rsidP="00EC5CF5">
            <w:pPr>
              <w:rPr>
                <w:rFonts w:cstheme="minorHAnsi"/>
                <w:sz w:val="21"/>
                <w:szCs w:val="21"/>
              </w:rPr>
            </w:pPr>
          </w:p>
        </w:tc>
      </w:tr>
      <w:tr w:rsidR="00EC5CF5" w14:paraId="577ED210" w14:textId="77777777" w:rsidTr="007D07EE">
        <w:trPr>
          <w:gridAfter w:val="1"/>
          <w:wAfter w:w="11" w:type="dxa"/>
        </w:trPr>
        <w:tc>
          <w:tcPr>
            <w:tcW w:w="1414" w:type="dxa"/>
            <w:shd w:val="clear" w:color="auto" w:fill="AEAAAA" w:themeFill="background2" w:themeFillShade="BF"/>
          </w:tcPr>
          <w:p w14:paraId="1ED4D698" w14:textId="69BF7913" w:rsidR="007C3487" w:rsidRPr="009B2573" w:rsidRDefault="007C3487" w:rsidP="007C3487">
            <w:pPr>
              <w:rPr>
                <w:b/>
                <w:bCs/>
                <w:sz w:val="21"/>
                <w:szCs w:val="21"/>
              </w:rPr>
            </w:pPr>
            <w:r w:rsidRPr="009B2573">
              <w:rPr>
                <w:b/>
                <w:bCs/>
                <w:sz w:val="21"/>
                <w:szCs w:val="21"/>
              </w:rPr>
              <w:t>Note 5</w:t>
            </w:r>
          </w:p>
        </w:tc>
        <w:tc>
          <w:tcPr>
            <w:tcW w:w="5946" w:type="dxa"/>
            <w:tcBorders>
              <w:top w:val="nil"/>
              <w:left w:val="single" w:sz="4" w:space="0" w:color="auto"/>
              <w:bottom w:val="single" w:sz="4" w:space="0" w:color="auto"/>
              <w:right w:val="single" w:sz="4" w:space="0" w:color="auto"/>
            </w:tcBorders>
            <w:vAlign w:val="bottom"/>
          </w:tcPr>
          <w:p w14:paraId="66394894" w14:textId="21DA4DF8" w:rsidR="00EC5CF5" w:rsidRPr="009B2573" w:rsidRDefault="00031BA4" w:rsidP="00EC5CF5">
            <w:pPr>
              <w:rPr>
                <w:rFonts w:cstheme="minorHAnsi"/>
                <w:sz w:val="21"/>
                <w:szCs w:val="21"/>
              </w:rPr>
            </w:pPr>
            <w:r>
              <w:rPr>
                <w:rFonts w:cstheme="minorHAnsi"/>
                <w:color w:val="000000"/>
                <w:sz w:val="21"/>
                <w:szCs w:val="21"/>
              </w:rPr>
              <w:t>General and r</w:t>
            </w:r>
            <w:r w:rsidR="00EC5CF5" w:rsidRPr="009B2573">
              <w:rPr>
                <w:rFonts w:cstheme="minorHAnsi"/>
                <w:color w:val="000000"/>
                <w:sz w:val="21"/>
                <w:szCs w:val="21"/>
              </w:rPr>
              <w:t>outine maintenance</w:t>
            </w:r>
          </w:p>
        </w:tc>
        <w:tc>
          <w:tcPr>
            <w:tcW w:w="1420" w:type="dxa"/>
          </w:tcPr>
          <w:p w14:paraId="3EA23AEB" w14:textId="77777777" w:rsidR="00EC5CF5" w:rsidRPr="009B2573" w:rsidRDefault="00EC5CF5" w:rsidP="00EC5CF5">
            <w:pPr>
              <w:rPr>
                <w:rFonts w:cstheme="minorHAnsi"/>
                <w:sz w:val="21"/>
                <w:szCs w:val="21"/>
              </w:rPr>
            </w:pPr>
          </w:p>
        </w:tc>
        <w:tc>
          <w:tcPr>
            <w:tcW w:w="1414" w:type="dxa"/>
          </w:tcPr>
          <w:p w14:paraId="70BB2B73" w14:textId="77777777" w:rsidR="00EC5CF5" w:rsidRPr="009B2573" w:rsidRDefault="00EC5CF5" w:rsidP="00EC5CF5">
            <w:pPr>
              <w:rPr>
                <w:rFonts w:cstheme="minorHAnsi"/>
                <w:sz w:val="21"/>
                <w:szCs w:val="21"/>
              </w:rPr>
            </w:pPr>
          </w:p>
        </w:tc>
      </w:tr>
      <w:tr w:rsidR="00EC5CF5" w14:paraId="7587106B" w14:textId="77777777" w:rsidTr="007D07EE">
        <w:trPr>
          <w:gridAfter w:val="1"/>
          <w:wAfter w:w="11" w:type="dxa"/>
          <w:trHeight w:val="137"/>
        </w:trPr>
        <w:tc>
          <w:tcPr>
            <w:tcW w:w="1414" w:type="dxa"/>
          </w:tcPr>
          <w:p w14:paraId="24B7608B" w14:textId="2A127FB6" w:rsidR="00EC5CF5" w:rsidRPr="009B2573" w:rsidRDefault="00EC5CF5" w:rsidP="00EC5CF5">
            <w:pPr>
              <w:rPr>
                <w:b/>
                <w:bCs/>
                <w:sz w:val="21"/>
                <w:szCs w:val="21"/>
              </w:rPr>
            </w:pPr>
            <w:r w:rsidRPr="009B2573">
              <w:rPr>
                <w:b/>
                <w:bCs/>
                <w:sz w:val="21"/>
                <w:szCs w:val="21"/>
              </w:rPr>
              <w:t>Sub total</w:t>
            </w:r>
          </w:p>
        </w:tc>
        <w:tc>
          <w:tcPr>
            <w:tcW w:w="5946" w:type="dxa"/>
            <w:tcBorders>
              <w:top w:val="nil"/>
              <w:left w:val="single" w:sz="4" w:space="0" w:color="auto"/>
              <w:bottom w:val="single" w:sz="4" w:space="0" w:color="auto"/>
              <w:right w:val="single" w:sz="4" w:space="0" w:color="auto"/>
            </w:tcBorders>
            <w:vAlign w:val="bottom"/>
          </w:tcPr>
          <w:p w14:paraId="29FF875E" w14:textId="67694ACF" w:rsidR="00EC5CF5" w:rsidRPr="009B2573" w:rsidRDefault="00EC5CF5" w:rsidP="00EC5CF5">
            <w:pPr>
              <w:rPr>
                <w:rFonts w:cstheme="minorHAnsi"/>
                <w:sz w:val="21"/>
                <w:szCs w:val="21"/>
              </w:rPr>
            </w:pPr>
            <w:r w:rsidRPr="009B2573">
              <w:rPr>
                <w:rFonts w:cstheme="minorHAnsi"/>
                <w:b/>
                <w:bCs/>
                <w:color w:val="000000"/>
                <w:sz w:val="21"/>
                <w:szCs w:val="21"/>
              </w:rPr>
              <w:t>Total maintenance expenditure</w:t>
            </w:r>
          </w:p>
        </w:tc>
        <w:tc>
          <w:tcPr>
            <w:tcW w:w="1420" w:type="dxa"/>
          </w:tcPr>
          <w:p w14:paraId="4AF8F6F1" w14:textId="0AED031D" w:rsidR="00EC5CF5" w:rsidRPr="009B2573" w:rsidRDefault="00E34BCA" w:rsidP="00EC5CF5">
            <w:pPr>
              <w:rPr>
                <w:rFonts w:cstheme="minorHAnsi"/>
                <w:b/>
                <w:bCs/>
                <w:sz w:val="21"/>
                <w:szCs w:val="21"/>
              </w:rPr>
            </w:pPr>
            <w:r w:rsidRPr="009B2573">
              <w:rPr>
                <w:rFonts w:cstheme="minorHAnsi"/>
                <w:b/>
                <w:bCs/>
                <w:sz w:val="21"/>
                <w:szCs w:val="21"/>
              </w:rPr>
              <w:t>£</w:t>
            </w:r>
          </w:p>
        </w:tc>
        <w:tc>
          <w:tcPr>
            <w:tcW w:w="1414" w:type="dxa"/>
          </w:tcPr>
          <w:p w14:paraId="4C265491" w14:textId="419D3585" w:rsidR="00EC5CF5" w:rsidRPr="009B2573" w:rsidRDefault="00E34BCA" w:rsidP="00EC5CF5">
            <w:pPr>
              <w:rPr>
                <w:rFonts w:cstheme="minorHAnsi"/>
                <w:b/>
                <w:bCs/>
                <w:sz w:val="21"/>
                <w:szCs w:val="21"/>
              </w:rPr>
            </w:pPr>
            <w:r w:rsidRPr="009B2573">
              <w:rPr>
                <w:rFonts w:cstheme="minorHAnsi"/>
                <w:b/>
                <w:bCs/>
                <w:sz w:val="21"/>
                <w:szCs w:val="21"/>
              </w:rPr>
              <w:t>£</w:t>
            </w:r>
          </w:p>
        </w:tc>
      </w:tr>
      <w:tr w:rsidR="00EC5CF5" w14:paraId="0A9AFDB9" w14:textId="77777777" w:rsidTr="007D07EE">
        <w:trPr>
          <w:gridAfter w:val="1"/>
          <w:wAfter w:w="11" w:type="dxa"/>
        </w:trPr>
        <w:tc>
          <w:tcPr>
            <w:tcW w:w="1414" w:type="dxa"/>
            <w:shd w:val="clear" w:color="auto" w:fill="D0CECE" w:themeFill="background2" w:themeFillShade="E6"/>
          </w:tcPr>
          <w:p w14:paraId="598DDF97" w14:textId="77777777" w:rsidR="00EC5CF5" w:rsidRPr="009B2573" w:rsidRDefault="00EC5CF5" w:rsidP="00EC5CF5">
            <w:pPr>
              <w:rPr>
                <w:sz w:val="21"/>
                <w:szCs w:val="21"/>
              </w:rPr>
            </w:pPr>
          </w:p>
        </w:tc>
        <w:tc>
          <w:tcPr>
            <w:tcW w:w="5946" w:type="dxa"/>
            <w:tcBorders>
              <w:top w:val="nil"/>
              <w:left w:val="single" w:sz="4" w:space="0" w:color="auto"/>
              <w:bottom w:val="single" w:sz="4" w:space="0" w:color="auto"/>
              <w:right w:val="single" w:sz="4" w:space="0" w:color="auto"/>
            </w:tcBorders>
            <w:shd w:val="clear" w:color="auto" w:fill="D0CECE" w:themeFill="background2" w:themeFillShade="E6"/>
            <w:vAlign w:val="bottom"/>
          </w:tcPr>
          <w:p w14:paraId="32C79479" w14:textId="7A7B61A0" w:rsidR="00EC5CF5" w:rsidRPr="009B2573" w:rsidRDefault="00EC5CF5" w:rsidP="00EC5CF5">
            <w:pPr>
              <w:rPr>
                <w:rFonts w:cstheme="minorHAnsi"/>
                <w:sz w:val="21"/>
                <w:szCs w:val="21"/>
              </w:rPr>
            </w:pPr>
            <w:r w:rsidRPr="009B2573">
              <w:rPr>
                <w:rFonts w:cstheme="minorHAnsi"/>
                <w:b/>
                <w:bCs/>
                <w:color w:val="000000"/>
                <w:sz w:val="21"/>
                <w:szCs w:val="21"/>
              </w:rPr>
              <w:t>Other expenditur</w:t>
            </w:r>
            <w:r w:rsidR="001E7105" w:rsidRPr="009B2573">
              <w:rPr>
                <w:rFonts w:cstheme="minorHAnsi"/>
                <w:b/>
                <w:bCs/>
                <w:color w:val="000000"/>
                <w:sz w:val="21"/>
                <w:szCs w:val="21"/>
              </w:rPr>
              <w:t>e</w:t>
            </w:r>
          </w:p>
        </w:tc>
        <w:tc>
          <w:tcPr>
            <w:tcW w:w="1420" w:type="dxa"/>
            <w:shd w:val="clear" w:color="auto" w:fill="D0CECE" w:themeFill="background2" w:themeFillShade="E6"/>
          </w:tcPr>
          <w:p w14:paraId="2D97C006" w14:textId="77777777" w:rsidR="00EC5CF5" w:rsidRPr="009B2573" w:rsidRDefault="00EC5CF5" w:rsidP="00EC5CF5">
            <w:pPr>
              <w:rPr>
                <w:rFonts w:cstheme="minorHAnsi"/>
                <w:sz w:val="21"/>
                <w:szCs w:val="21"/>
              </w:rPr>
            </w:pPr>
          </w:p>
        </w:tc>
        <w:tc>
          <w:tcPr>
            <w:tcW w:w="1414" w:type="dxa"/>
            <w:shd w:val="clear" w:color="auto" w:fill="D0CECE" w:themeFill="background2" w:themeFillShade="E6"/>
          </w:tcPr>
          <w:p w14:paraId="31AE6665" w14:textId="77777777" w:rsidR="00EC5CF5" w:rsidRPr="009B2573" w:rsidRDefault="00EC5CF5" w:rsidP="00EC5CF5">
            <w:pPr>
              <w:rPr>
                <w:rFonts w:cstheme="minorHAnsi"/>
                <w:sz w:val="21"/>
                <w:szCs w:val="21"/>
              </w:rPr>
            </w:pPr>
          </w:p>
        </w:tc>
      </w:tr>
      <w:tr w:rsidR="00EC5CF5" w14:paraId="3B519790" w14:textId="77777777" w:rsidTr="007D07EE">
        <w:trPr>
          <w:gridAfter w:val="1"/>
          <w:wAfter w:w="11" w:type="dxa"/>
        </w:trPr>
        <w:tc>
          <w:tcPr>
            <w:tcW w:w="1414" w:type="dxa"/>
          </w:tcPr>
          <w:p w14:paraId="77044B31" w14:textId="77777777" w:rsidR="00EC5CF5" w:rsidRPr="009B2573" w:rsidRDefault="00EC5CF5" w:rsidP="00EC5CF5">
            <w:pPr>
              <w:rPr>
                <w:sz w:val="21"/>
                <w:szCs w:val="21"/>
              </w:rPr>
            </w:pPr>
          </w:p>
        </w:tc>
        <w:tc>
          <w:tcPr>
            <w:tcW w:w="5946" w:type="dxa"/>
            <w:tcBorders>
              <w:top w:val="nil"/>
              <w:left w:val="single" w:sz="4" w:space="0" w:color="auto"/>
              <w:bottom w:val="single" w:sz="4" w:space="0" w:color="auto"/>
              <w:right w:val="single" w:sz="4" w:space="0" w:color="auto"/>
            </w:tcBorders>
            <w:vAlign w:val="bottom"/>
          </w:tcPr>
          <w:p w14:paraId="7AC57E59" w14:textId="67DD2F08" w:rsidR="00EC5CF5" w:rsidRPr="009B2573" w:rsidRDefault="00EC5CF5" w:rsidP="00EC5CF5">
            <w:pPr>
              <w:rPr>
                <w:rFonts w:cstheme="minorHAnsi"/>
                <w:sz w:val="21"/>
                <w:szCs w:val="21"/>
              </w:rPr>
            </w:pPr>
            <w:r w:rsidRPr="009B2573">
              <w:rPr>
                <w:rFonts w:cstheme="minorHAnsi"/>
                <w:color w:val="000000"/>
                <w:sz w:val="21"/>
                <w:szCs w:val="21"/>
              </w:rPr>
              <w:t>Utilities</w:t>
            </w:r>
            <w:r w:rsidR="00C362E2">
              <w:rPr>
                <w:rFonts w:cstheme="minorHAnsi"/>
                <w:color w:val="000000"/>
                <w:sz w:val="21"/>
                <w:szCs w:val="21"/>
              </w:rPr>
              <w:t>, communal heating and lighting</w:t>
            </w:r>
          </w:p>
        </w:tc>
        <w:tc>
          <w:tcPr>
            <w:tcW w:w="1420" w:type="dxa"/>
          </w:tcPr>
          <w:p w14:paraId="058D1DBD" w14:textId="77777777" w:rsidR="00EC5CF5" w:rsidRPr="009B2573" w:rsidRDefault="00EC5CF5" w:rsidP="00EC5CF5">
            <w:pPr>
              <w:rPr>
                <w:rFonts w:cstheme="minorHAnsi"/>
                <w:sz w:val="21"/>
                <w:szCs w:val="21"/>
              </w:rPr>
            </w:pPr>
          </w:p>
        </w:tc>
        <w:tc>
          <w:tcPr>
            <w:tcW w:w="1414" w:type="dxa"/>
          </w:tcPr>
          <w:p w14:paraId="11BA8373" w14:textId="77777777" w:rsidR="00EC5CF5" w:rsidRPr="009B2573" w:rsidRDefault="00EC5CF5" w:rsidP="00EC5CF5">
            <w:pPr>
              <w:rPr>
                <w:rFonts w:cstheme="minorHAnsi"/>
                <w:sz w:val="21"/>
                <w:szCs w:val="21"/>
              </w:rPr>
            </w:pPr>
          </w:p>
        </w:tc>
      </w:tr>
      <w:tr w:rsidR="00C362E2" w14:paraId="64ECD074" w14:textId="77777777" w:rsidTr="007D07EE">
        <w:trPr>
          <w:gridAfter w:val="1"/>
          <w:wAfter w:w="11" w:type="dxa"/>
        </w:trPr>
        <w:tc>
          <w:tcPr>
            <w:tcW w:w="1414" w:type="dxa"/>
          </w:tcPr>
          <w:p w14:paraId="4EE652F5" w14:textId="3D27DDA3" w:rsidR="00C362E2" w:rsidRPr="00436569" w:rsidRDefault="00C362E2" w:rsidP="00EC5CF5">
            <w:pPr>
              <w:rPr>
                <w:b/>
                <w:bCs/>
                <w:sz w:val="21"/>
                <w:szCs w:val="21"/>
              </w:rPr>
            </w:pPr>
          </w:p>
        </w:tc>
        <w:tc>
          <w:tcPr>
            <w:tcW w:w="5946" w:type="dxa"/>
            <w:tcBorders>
              <w:top w:val="nil"/>
              <w:left w:val="single" w:sz="4" w:space="0" w:color="auto"/>
              <w:bottom w:val="single" w:sz="4" w:space="0" w:color="auto"/>
              <w:right w:val="single" w:sz="4" w:space="0" w:color="auto"/>
            </w:tcBorders>
            <w:vAlign w:val="bottom"/>
          </w:tcPr>
          <w:p w14:paraId="75096C13" w14:textId="14613D40" w:rsidR="00C362E2" w:rsidRPr="009B2573" w:rsidRDefault="00C362E2" w:rsidP="00EC5CF5">
            <w:pPr>
              <w:rPr>
                <w:rFonts w:cstheme="minorHAnsi"/>
                <w:sz w:val="21"/>
                <w:szCs w:val="21"/>
              </w:rPr>
            </w:pPr>
            <w:r w:rsidRPr="009B2573">
              <w:rPr>
                <w:rFonts w:cstheme="minorHAnsi"/>
                <w:color w:val="000000"/>
                <w:sz w:val="21"/>
                <w:szCs w:val="21"/>
              </w:rPr>
              <w:t>Tele</w:t>
            </w:r>
            <w:r>
              <w:rPr>
                <w:rFonts w:cstheme="minorHAnsi"/>
                <w:color w:val="000000"/>
                <w:sz w:val="21"/>
                <w:szCs w:val="21"/>
              </w:rPr>
              <w:t>coms/internet provider</w:t>
            </w:r>
          </w:p>
        </w:tc>
        <w:tc>
          <w:tcPr>
            <w:tcW w:w="1420" w:type="dxa"/>
          </w:tcPr>
          <w:p w14:paraId="05840466" w14:textId="77777777" w:rsidR="00C362E2" w:rsidRPr="009B2573" w:rsidRDefault="00C362E2" w:rsidP="00EC5CF5">
            <w:pPr>
              <w:rPr>
                <w:rFonts w:cstheme="minorHAnsi"/>
                <w:sz w:val="21"/>
                <w:szCs w:val="21"/>
              </w:rPr>
            </w:pPr>
          </w:p>
        </w:tc>
        <w:tc>
          <w:tcPr>
            <w:tcW w:w="1414" w:type="dxa"/>
          </w:tcPr>
          <w:p w14:paraId="34A97B52" w14:textId="77777777" w:rsidR="00C362E2" w:rsidRPr="009B2573" w:rsidRDefault="00C362E2" w:rsidP="00EC5CF5">
            <w:pPr>
              <w:rPr>
                <w:rFonts w:cstheme="minorHAnsi"/>
                <w:sz w:val="21"/>
                <w:szCs w:val="21"/>
              </w:rPr>
            </w:pPr>
          </w:p>
        </w:tc>
      </w:tr>
      <w:tr w:rsidR="00C362E2" w14:paraId="0E219BC6" w14:textId="77777777" w:rsidTr="007D07EE">
        <w:trPr>
          <w:gridAfter w:val="1"/>
          <w:wAfter w:w="11" w:type="dxa"/>
        </w:trPr>
        <w:tc>
          <w:tcPr>
            <w:tcW w:w="1414" w:type="dxa"/>
          </w:tcPr>
          <w:p w14:paraId="6C05DFE9" w14:textId="77777777" w:rsidR="00C362E2" w:rsidRPr="009B2573" w:rsidRDefault="00C362E2" w:rsidP="00EC5CF5">
            <w:pPr>
              <w:rPr>
                <w:sz w:val="21"/>
                <w:szCs w:val="21"/>
              </w:rPr>
            </w:pPr>
          </w:p>
        </w:tc>
        <w:tc>
          <w:tcPr>
            <w:tcW w:w="5946" w:type="dxa"/>
            <w:tcBorders>
              <w:top w:val="nil"/>
              <w:left w:val="single" w:sz="4" w:space="0" w:color="auto"/>
              <w:bottom w:val="single" w:sz="4" w:space="0" w:color="auto"/>
              <w:right w:val="single" w:sz="4" w:space="0" w:color="auto"/>
            </w:tcBorders>
            <w:vAlign w:val="bottom"/>
          </w:tcPr>
          <w:p w14:paraId="386BCB75" w14:textId="3C3793A7" w:rsidR="00C362E2" w:rsidRPr="009B2573" w:rsidRDefault="00C362E2" w:rsidP="00EC5CF5">
            <w:pPr>
              <w:rPr>
                <w:rFonts w:cstheme="minorHAnsi"/>
                <w:sz w:val="21"/>
                <w:szCs w:val="21"/>
              </w:rPr>
            </w:pPr>
            <w:r w:rsidRPr="009B2573">
              <w:rPr>
                <w:rFonts w:cstheme="minorHAnsi"/>
                <w:color w:val="000000"/>
                <w:sz w:val="21"/>
                <w:szCs w:val="21"/>
              </w:rPr>
              <w:t>Alarm</w:t>
            </w:r>
          </w:p>
        </w:tc>
        <w:tc>
          <w:tcPr>
            <w:tcW w:w="1420" w:type="dxa"/>
          </w:tcPr>
          <w:p w14:paraId="1A690ADE" w14:textId="77777777" w:rsidR="00C362E2" w:rsidRPr="009B2573" w:rsidRDefault="00C362E2" w:rsidP="00EC5CF5">
            <w:pPr>
              <w:rPr>
                <w:rFonts w:cstheme="minorHAnsi"/>
                <w:sz w:val="21"/>
                <w:szCs w:val="21"/>
              </w:rPr>
            </w:pPr>
          </w:p>
        </w:tc>
        <w:tc>
          <w:tcPr>
            <w:tcW w:w="1414" w:type="dxa"/>
          </w:tcPr>
          <w:p w14:paraId="4AD2A570" w14:textId="77777777" w:rsidR="00C362E2" w:rsidRPr="009B2573" w:rsidRDefault="00C362E2" w:rsidP="00EC5CF5">
            <w:pPr>
              <w:rPr>
                <w:rFonts w:cstheme="minorHAnsi"/>
                <w:sz w:val="21"/>
                <w:szCs w:val="21"/>
              </w:rPr>
            </w:pPr>
          </w:p>
        </w:tc>
      </w:tr>
      <w:tr w:rsidR="00C362E2" w14:paraId="437B6CB2" w14:textId="77777777" w:rsidTr="007D07EE">
        <w:trPr>
          <w:gridAfter w:val="1"/>
          <w:wAfter w:w="11" w:type="dxa"/>
        </w:trPr>
        <w:tc>
          <w:tcPr>
            <w:tcW w:w="1414" w:type="dxa"/>
          </w:tcPr>
          <w:p w14:paraId="3A61A57D" w14:textId="77777777" w:rsidR="00C362E2" w:rsidRPr="009B2573" w:rsidRDefault="00C362E2" w:rsidP="00EC5CF5">
            <w:pPr>
              <w:rPr>
                <w:sz w:val="21"/>
                <w:szCs w:val="21"/>
              </w:rPr>
            </w:pPr>
          </w:p>
        </w:tc>
        <w:tc>
          <w:tcPr>
            <w:tcW w:w="5946" w:type="dxa"/>
            <w:tcBorders>
              <w:top w:val="nil"/>
              <w:left w:val="single" w:sz="4" w:space="0" w:color="auto"/>
              <w:bottom w:val="single" w:sz="4" w:space="0" w:color="auto"/>
              <w:right w:val="single" w:sz="4" w:space="0" w:color="auto"/>
            </w:tcBorders>
            <w:vAlign w:val="bottom"/>
          </w:tcPr>
          <w:p w14:paraId="4F168CD8" w14:textId="124683AC" w:rsidR="00C362E2" w:rsidRPr="009B2573" w:rsidRDefault="00C362E2" w:rsidP="00EC5CF5">
            <w:pPr>
              <w:rPr>
                <w:rFonts w:cstheme="minorHAnsi"/>
                <w:sz w:val="21"/>
                <w:szCs w:val="21"/>
              </w:rPr>
            </w:pPr>
            <w:r w:rsidRPr="009B2573">
              <w:rPr>
                <w:rFonts w:cstheme="minorHAnsi"/>
                <w:color w:val="000000"/>
                <w:sz w:val="21"/>
                <w:szCs w:val="21"/>
              </w:rPr>
              <w:t xml:space="preserve">Cleaning </w:t>
            </w:r>
          </w:p>
        </w:tc>
        <w:tc>
          <w:tcPr>
            <w:tcW w:w="1420" w:type="dxa"/>
          </w:tcPr>
          <w:p w14:paraId="2F260B8B" w14:textId="77777777" w:rsidR="00C362E2" w:rsidRPr="009B2573" w:rsidRDefault="00C362E2" w:rsidP="00EC5CF5">
            <w:pPr>
              <w:rPr>
                <w:rFonts w:cstheme="minorHAnsi"/>
                <w:sz w:val="21"/>
                <w:szCs w:val="21"/>
              </w:rPr>
            </w:pPr>
          </w:p>
        </w:tc>
        <w:tc>
          <w:tcPr>
            <w:tcW w:w="1414" w:type="dxa"/>
          </w:tcPr>
          <w:p w14:paraId="61959B80" w14:textId="77777777" w:rsidR="00C362E2" w:rsidRPr="009B2573" w:rsidRDefault="00C362E2" w:rsidP="00EC5CF5">
            <w:pPr>
              <w:rPr>
                <w:rFonts w:cstheme="minorHAnsi"/>
                <w:sz w:val="21"/>
                <w:szCs w:val="21"/>
              </w:rPr>
            </w:pPr>
          </w:p>
        </w:tc>
      </w:tr>
      <w:tr w:rsidR="00C362E2" w14:paraId="55371BAB" w14:textId="77777777" w:rsidTr="007D07EE">
        <w:trPr>
          <w:gridAfter w:val="1"/>
          <w:wAfter w:w="11" w:type="dxa"/>
        </w:trPr>
        <w:tc>
          <w:tcPr>
            <w:tcW w:w="1414" w:type="dxa"/>
          </w:tcPr>
          <w:p w14:paraId="7105B16B" w14:textId="77777777" w:rsidR="00C362E2" w:rsidRPr="009B2573" w:rsidRDefault="00C362E2" w:rsidP="00EC5CF5">
            <w:pPr>
              <w:rPr>
                <w:sz w:val="21"/>
                <w:szCs w:val="21"/>
              </w:rPr>
            </w:pPr>
          </w:p>
        </w:tc>
        <w:tc>
          <w:tcPr>
            <w:tcW w:w="5946" w:type="dxa"/>
            <w:tcBorders>
              <w:top w:val="nil"/>
              <w:left w:val="single" w:sz="4" w:space="0" w:color="auto"/>
              <w:bottom w:val="single" w:sz="4" w:space="0" w:color="auto"/>
              <w:right w:val="single" w:sz="4" w:space="0" w:color="auto"/>
            </w:tcBorders>
            <w:vAlign w:val="bottom"/>
          </w:tcPr>
          <w:p w14:paraId="02743E07" w14:textId="51D9AEB0" w:rsidR="00C362E2" w:rsidRPr="009B2573" w:rsidRDefault="00C362E2" w:rsidP="00EC5CF5">
            <w:pPr>
              <w:rPr>
                <w:rFonts w:cstheme="minorHAnsi"/>
                <w:sz w:val="21"/>
                <w:szCs w:val="21"/>
              </w:rPr>
            </w:pPr>
            <w:r w:rsidRPr="009B2573">
              <w:rPr>
                <w:rFonts w:cstheme="minorHAnsi"/>
                <w:color w:val="000000"/>
                <w:sz w:val="21"/>
                <w:szCs w:val="21"/>
              </w:rPr>
              <w:t xml:space="preserve">Gardening </w:t>
            </w:r>
          </w:p>
        </w:tc>
        <w:tc>
          <w:tcPr>
            <w:tcW w:w="1420" w:type="dxa"/>
          </w:tcPr>
          <w:p w14:paraId="407C323D" w14:textId="77777777" w:rsidR="00C362E2" w:rsidRPr="009B2573" w:rsidRDefault="00C362E2" w:rsidP="00EC5CF5">
            <w:pPr>
              <w:rPr>
                <w:rFonts w:cstheme="minorHAnsi"/>
                <w:sz w:val="21"/>
                <w:szCs w:val="21"/>
              </w:rPr>
            </w:pPr>
          </w:p>
        </w:tc>
        <w:tc>
          <w:tcPr>
            <w:tcW w:w="1414" w:type="dxa"/>
          </w:tcPr>
          <w:p w14:paraId="77A021A1" w14:textId="77777777" w:rsidR="00C362E2" w:rsidRPr="009B2573" w:rsidRDefault="00C362E2" w:rsidP="00EC5CF5">
            <w:pPr>
              <w:rPr>
                <w:rFonts w:cstheme="minorHAnsi"/>
                <w:sz w:val="21"/>
                <w:szCs w:val="21"/>
              </w:rPr>
            </w:pPr>
          </w:p>
        </w:tc>
      </w:tr>
      <w:tr w:rsidR="00C362E2" w14:paraId="37B55F65" w14:textId="77777777" w:rsidTr="007D07EE">
        <w:trPr>
          <w:gridAfter w:val="1"/>
          <w:wAfter w:w="11" w:type="dxa"/>
        </w:trPr>
        <w:tc>
          <w:tcPr>
            <w:tcW w:w="1414" w:type="dxa"/>
          </w:tcPr>
          <w:p w14:paraId="3E2D4477" w14:textId="77777777" w:rsidR="00C362E2" w:rsidRPr="009B2573" w:rsidRDefault="00C362E2" w:rsidP="00EC5CF5">
            <w:pPr>
              <w:rPr>
                <w:sz w:val="21"/>
                <w:szCs w:val="21"/>
              </w:rPr>
            </w:pPr>
          </w:p>
        </w:tc>
        <w:tc>
          <w:tcPr>
            <w:tcW w:w="5946" w:type="dxa"/>
            <w:tcBorders>
              <w:top w:val="nil"/>
              <w:left w:val="single" w:sz="4" w:space="0" w:color="auto"/>
              <w:bottom w:val="single" w:sz="4" w:space="0" w:color="auto"/>
              <w:right w:val="single" w:sz="4" w:space="0" w:color="auto"/>
            </w:tcBorders>
            <w:vAlign w:val="bottom"/>
          </w:tcPr>
          <w:p w14:paraId="69A85ECC" w14:textId="162BD7DF" w:rsidR="00C362E2" w:rsidRPr="009B2573" w:rsidRDefault="00C362E2" w:rsidP="00EC5CF5">
            <w:pPr>
              <w:rPr>
                <w:rFonts w:cstheme="minorHAnsi"/>
                <w:sz w:val="21"/>
                <w:szCs w:val="21"/>
              </w:rPr>
            </w:pPr>
            <w:r w:rsidRPr="009B2573">
              <w:rPr>
                <w:rFonts w:cstheme="minorHAnsi"/>
                <w:color w:val="000000"/>
                <w:sz w:val="21"/>
                <w:szCs w:val="21"/>
              </w:rPr>
              <w:t>Other</w:t>
            </w:r>
          </w:p>
        </w:tc>
        <w:tc>
          <w:tcPr>
            <w:tcW w:w="1420" w:type="dxa"/>
          </w:tcPr>
          <w:p w14:paraId="7B49A294" w14:textId="77777777" w:rsidR="00C362E2" w:rsidRPr="009B2573" w:rsidRDefault="00C362E2" w:rsidP="00EC5CF5">
            <w:pPr>
              <w:rPr>
                <w:rFonts w:cstheme="minorHAnsi"/>
                <w:sz w:val="21"/>
                <w:szCs w:val="21"/>
              </w:rPr>
            </w:pPr>
          </w:p>
        </w:tc>
        <w:tc>
          <w:tcPr>
            <w:tcW w:w="1414" w:type="dxa"/>
          </w:tcPr>
          <w:p w14:paraId="52EF0C3D" w14:textId="77777777" w:rsidR="00C362E2" w:rsidRPr="009B2573" w:rsidRDefault="00C362E2" w:rsidP="00EC5CF5">
            <w:pPr>
              <w:rPr>
                <w:rFonts w:cstheme="minorHAnsi"/>
                <w:sz w:val="21"/>
                <w:szCs w:val="21"/>
              </w:rPr>
            </w:pPr>
          </w:p>
        </w:tc>
      </w:tr>
      <w:tr w:rsidR="00C362E2" w14:paraId="271B1845" w14:textId="77777777" w:rsidTr="007D07EE">
        <w:trPr>
          <w:gridAfter w:val="1"/>
          <w:wAfter w:w="11" w:type="dxa"/>
        </w:trPr>
        <w:tc>
          <w:tcPr>
            <w:tcW w:w="1414" w:type="dxa"/>
          </w:tcPr>
          <w:p w14:paraId="44197A5C" w14:textId="77777777" w:rsidR="00C362E2" w:rsidRPr="009B2573" w:rsidRDefault="00C362E2" w:rsidP="00EC5CF5">
            <w:pPr>
              <w:rPr>
                <w:sz w:val="21"/>
                <w:szCs w:val="21"/>
              </w:rPr>
            </w:pPr>
          </w:p>
        </w:tc>
        <w:tc>
          <w:tcPr>
            <w:tcW w:w="5946" w:type="dxa"/>
            <w:tcBorders>
              <w:top w:val="nil"/>
              <w:left w:val="single" w:sz="4" w:space="0" w:color="auto"/>
              <w:bottom w:val="single" w:sz="4" w:space="0" w:color="auto"/>
              <w:right w:val="single" w:sz="4" w:space="0" w:color="auto"/>
            </w:tcBorders>
            <w:vAlign w:val="bottom"/>
          </w:tcPr>
          <w:p w14:paraId="2077FF01" w14:textId="06BCB112" w:rsidR="00C362E2" w:rsidRPr="009B2573" w:rsidRDefault="00C362E2" w:rsidP="00EC5CF5">
            <w:pPr>
              <w:rPr>
                <w:rFonts w:cstheme="minorHAnsi"/>
                <w:sz w:val="21"/>
                <w:szCs w:val="21"/>
              </w:rPr>
            </w:pPr>
            <w:r w:rsidRPr="009B2573">
              <w:rPr>
                <w:rFonts w:cstheme="minorHAnsi"/>
                <w:b/>
                <w:bCs/>
                <w:color w:val="000000"/>
                <w:sz w:val="21"/>
                <w:szCs w:val="21"/>
              </w:rPr>
              <w:t>Total other expenditure</w:t>
            </w:r>
          </w:p>
        </w:tc>
        <w:tc>
          <w:tcPr>
            <w:tcW w:w="1420" w:type="dxa"/>
          </w:tcPr>
          <w:p w14:paraId="367E8C33" w14:textId="77777777" w:rsidR="00C362E2" w:rsidRPr="009B2573" w:rsidRDefault="00C362E2" w:rsidP="00EC5CF5">
            <w:pPr>
              <w:rPr>
                <w:rFonts w:cstheme="minorHAnsi"/>
                <w:sz w:val="21"/>
                <w:szCs w:val="21"/>
              </w:rPr>
            </w:pPr>
          </w:p>
        </w:tc>
        <w:tc>
          <w:tcPr>
            <w:tcW w:w="1414" w:type="dxa"/>
          </w:tcPr>
          <w:p w14:paraId="2FD55B44" w14:textId="77777777" w:rsidR="00C362E2" w:rsidRPr="009B2573" w:rsidRDefault="00C362E2" w:rsidP="00EC5CF5">
            <w:pPr>
              <w:rPr>
                <w:rFonts w:cstheme="minorHAnsi"/>
                <w:sz w:val="21"/>
                <w:szCs w:val="21"/>
              </w:rPr>
            </w:pPr>
          </w:p>
        </w:tc>
      </w:tr>
      <w:tr w:rsidR="00C362E2" w14:paraId="50E71D26" w14:textId="77777777" w:rsidTr="007D07EE">
        <w:trPr>
          <w:gridAfter w:val="1"/>
          <w:wAfter w:w="11" w:type="dxa"/>
        </w:trPr>
        <w:tc>
          <w:tcPr>
            <w:tcW w:w="1414" w:type="dxa"/>
            <w:shd w:val="clear" w:color="auto" w:fill="D3A1CB"/>
          </w:tcPr>
          <w:p w14:paraId="557EDD5E" w14:textId="327E09D6" w:rsidR="00C362E2" w:rsidRPr="009B2573" w:rsidRDefault="00BA2BCE" w:rsidP="00EC5CF5">
            <w:pPr>
              <w:rPr>
                <w:b/>
                <w:bCs/>
                <w:sz w:val="21"/>
                <w:szCs w:val="21"/>
              </w:rPr>
            </w:pPr>
            <w:r>
              <w:rPr>
                <w:b/>
                <w:bCs/>
                <w:sz w:val="21"/>
                <w:szCs w:val="21"/>
              </w:rPr>
              <w:t>Total</w:t>
            </w:r>
          </w:p>
        </w:tc>
        <w:tc>
          <w:tcPr>
            <w:tcW w:w="5946" w:type="dxa"/>
            <w:shd w:val="clear" w:color="auto" w:fill="D3A1CB"/>
          </w:tcPr>
          <w:p w14:paraId="44CD41CA" w14:textId="77777777" w:rsidR="002B0328" w:rsidRDefault="00C362E2" w:rsidP="00EC5CF5">
            <w:pPr>
              <w:rPr>
                <w:rFonts w:cstheme="minorHAnsi"/>
                <w:b/>
                <w:bCs/>
                <w:sz w:val="21"/>
                <w:szCs w:val="21"/>
              </w:rPr>
            </w:pPr>
            <w:r w:rsidRPr="009B2573">
              <w:rPr>
                <w:rFonts w:cstheme="minorHAnsi"/>
                <w:b/>
                <w:bCs/>
                <w:sz w:val="21"/>
                <w:szCs w:val="21"/>
              </w:rPr>
              <w:t xml:space="preserve">TOTAL EXPENDITURE </w:t>
            </w:r>
          </w:p>
          <w:p w14:paraId="7EFF31DE" w14:textId="7AAD4B1C" w:rsidR="00C362E2" w:rsidRPr="009B2573" w:rsidRDefault="00831C29" w:rsidP="00EC5CF5">
            <w:pPr>
              <w:rPr>
                <w:rFonts w:cstheme="minorHAnsi"/>
                <w:sz w:val="21"/>
                <w:szCs w:val="21"/>
              </w:rPr>
            </w:pPr>
            <w:r>
              <w:rPr>
                <w:rFonts w:cstheme="minorHAnsi"/>
                <w:b/>
                <w:bCs/>
                <w:sz w:val="18"/>
                <w:szCs w:val="18"/>
              </w:rPr>
              <w:t>(</w:t>
            </w:r>
            <w:r w:rsidR="001F28BF">
              <w:rPr>
                <w:rFonts w:cstheme="minorHAnsi"/>
                <w:b/>
                <w:bCs/>
                <w:sz w:val="18"/>
                <w:szCs w:val="18"/>
              </w:rPr>
              <w:t>Ma</w:t>
            </w:r>
            <w:r w:rsidR="00C362E2" w:rsidRPr="00BB57F6">
              <w:rPr>
                <w:rFonts w:cstheme="minorHAnsi"/>
                <w:b/>
                <w:bCs/>
                <w:sz w:val="18"/>
                <w:szCs w:val="18"/>
              </w:rPr>
              <w:t xml:space="preserve">nagement + </w:t>
            </w:r>
            <w:r w:rsidR="001F28BF">
              <w:rPr>
                <w:rFonts w:cstheme="minorHAnsi"/>
                <w:b/>
                <w:bCs/>
                <w:sz w:val="18"/>
                <w:szCs w:val="18"/>
              </w:rPr>
              <w:t>M</w:t>
            </w:r>
            <w:r w:rsidR="00C362E2" w:rsidRPr="00BB57F6">
              <w:rPr>
                <w:rFonts w:cstheme="minorHAnsi"/>
                <w:b/>
                <w:bCs/>
                <w:sz w:val="18"/>
                <w:szCs w:val="18"/>
              </w:rPr>
              <w:t xml:space="preserve">aintenance + </w:t>
            </w:r>
            <w:r w:rsidR="001F28BF">
              <w:rPr>
                <w:rFonts w:cstheme="minorHAnsi"/>
                <w:b/>
                <w:bCs/>
                <w:sz w:val="18"/>
                <w:szCs w:val="18"/>
              </w:rPr>
              <w:t>O</w:t>
            </w:r>
            <w:r w:rsidR="00C362E2" w:rsidRPr="00BB57F6">
              <w:rPr>
                <w:rFonts w:cstheme="minorHAnsi"/>
                <w:b/>
                <w:bCs/>
                <w:sz w:val="18"/>
                <w:szCs w:val="18"/>
              </w:rPr>
              <w:t>ther expenditure)</w:t>
            </w:r>
          </w:p>
        </w:tc>
        <w:tc>
          <w:tcPr>
            <w:tcW w:w="1420" w:type="dxa"/>
            <w:shd w:val="clear" w:color="auto" w:fill="D3A1CB"/>
          </w:tcPr>
          <w:p w14:paraId="1F28FFDF" w14:textId="471AFBD1" w:rsidR="00C362E2" w:rsidRPr="009B2573" w:rsidRDefault="00C362E2" w:rsidP="00EC5CF5">
            <w:pPr>
              <w:rPr>
                <w:rFonts w:cstheme="minorHAnsi"/>
                <w:b/>
                <w:bCs/>
                <w:sz w:val="21"/>
                <w:szCs w:val="21"/>
              </w:rPr>
            </w:pPr>
            <w:r w:rsidRPr="009B2573">
              <w:rPr>
                <w:rFonts w:cstheme="minorHAnsi"/>
                <w:b/>
                <w:bCs/>
                <w:sz w:val="21"/>
                <w:szCs w:val="21"/>
              </w:rPr>
              <w:t>£</w:t>
            </w:r>
          </w:p>
        </w:tc>
        <w:tc>
          <w:tcPr>
            <w:tcW w:w="1414" w:type="dxa"/>
            <w:shd w:val="clear" w:color="auto" w:fill="D3A1CB"/>
          </w:tcPr>
          <w:p w14:paraId="02ECC8FC" w14:textId="713B6C38" w:rsidR="00C362E2" w:rsidRPr="009B2573" w:rsidRDefault="00C362E2" w:rsidP="00EC5CF5">
            <w:pPr>
              <w:rPr>
                <w:rFonts w:cstheme="minorHAnsi"/>
                <w:b/>
                <w:bCs/>
                <w:sz w:val="21"/>
                <w:szCs w:val="21"/>
              </w:rPr>
            </w:pPr>
            <w:r w:rsidRPr="009B2573">
              <w:rPr>
                <w:rFonts w:cstheme="minorHAnsi"/>
                <w:b/>
                <w:bCs/>
                <w:sz w:val="21"/>
                <w:szCs w:val="21"/>
              </w:rPr>
              <w:t>£</w:t>
            </w:r>
          </w:p>
        </w:tc>
      </w:tr>
      <w:tr w:rsidR="00C362E2" w14:paraId="778AE10A" w14:textId="77777777" w:rsidTr="007D07EE">
        <w:trPr>
          <w:gridAfter w:val="1"/>
          <w:wAfter w:w="11" w:type="dxa"/>
        </w:trPr>
        <w:tc>
          <w:tcPr>
            <w:tcW w:w="1414" w:type="dxa"/>
            <w:shd w:val="clear" w:color="auto" w:fill="FEE38C"/>
          </w:tcPr>
          <w:p w14:paraId="536AE4CE" w14:textId="3ED01D8C" w:rsidR="00C362E2" w:rsidRPr="009B2573" w:rsidRDefault="00C362E2" w:rsidP="00B04DA4">
            <w:pPr>
              <w:rPr>
                <w:b/>
                <w:bCs/>
                <w:sz w:val="21"/>
                <w:szCs w:val="21"/>
              </w:rPr>
            </w:pPr>
            <w:r w:rsidRPr="009B2573">
              <w:rPr>
                <w:b/>
                <w:bCs/>
                <w:sz w:val="21"/>
                <w:szCs w:val="21"/>
              </w:rPr>
              <w:t>Total</w:t>
            </w:r>
          </w:p>
          <w:p w14:paraId="290CBC69" w14:textId="4068FA7B" w:rsidR="00C362E2" w:rsidRPr="009B2573" w:rsidRDefault="00C362E2" w:rsidP="00B04DA4">
            <w:pPr>
              <w:rPr>
                <w:b/>
                <w:bCs/>
                <w:sz w:val="21"/>
                <w:szCs w:val="21"/>
              </w:rPr>
            </w:pPr>
          </w:p>
        </w:tc>
        <w:tc>
          <w:tcPr>
            <w:tcW w:w="5946" w:type="dxa"/>
            <w:tcBorders>
              <w:top w:val="nil"/>
              <w:left w:val="single" w:sz="4" w:space="0" w:color="auto"/>
              <w:bottom w:val="single" w:sz="4" w:space="0" w:color="auto"/>
              <w:right w:val="single" w:sz="4" w:space="0" w:color="auto"/>
            </w:tcBorders>
            <w:shd w:val="clear" w:color="auto" w:fill="FEE38C"/>
          </w:tcPr>
          <w:p w14:paraId="4470ED36" w14:textId="77777777" w:rsidR="007D07EE" w:rsidRDefault="00C362E2" w:rsidP="003C5CF4">
            <w:pPr>
              <w:rPr>
                <w:rFonts w:cstheme="minorHAnsi"/>
                <w:b/>
                <w:bCs/>
                <w:sz w:val="21"/>
                <w:szCs w:val="21"/>
              </w:rPr>
            </w:pPr>
            <w:r w:rsidRPr="009B2573">
              <w:rPr>
                <w:rFonts w:cstheme="minorHAnsi"/>
                <w:b/>
                <w:bCs/>
                <w:sz w:val="21"/>
                <w:szCs w:val="21"/>
              </w:rPr>
              <w:t>NET</w:t>
            </w:r>
            <w:r>
              <w:rPr>
                <w:rFonts w:cstheme="minorHAnsi"/>
                <w:b/>
                <w:bCs/>
                <w:sz w:val="21"/>
                <w:szCs w:val="21"/>
              </w:rPr>
              <w:t xml:space="preserve"> OPERATING CASH FLOWS</w:t>
            </w:r>
            <w:r w:rsidRPr="009B2573">
              <w:rPr>
                <w:rFonts w:cstheme="minorHAnsi"/>
                <w:b/>
                <w:bCs/>
                <w:sz w:val="21"/>
                <w:szCs w:val="21"/>
              </w:rPr>
              <w:t xml:space="preserve"> </w:t>
            </w:r>
          </w:p>
          <w:p w14:paraId="68A4DA6A" w14:textId="495987C6" w:rsidR="00C362E2" w:rsidRPr="00BB57F6" w:rsidRDefault="00C362E2" w:rsidP="007D07EE">
            <w:pPr>
              <w:rPr>
                <w:rFonts w:cstheme="minorHAnsi"/>
                <w:b/>
                <w:bCs/>
                <w:sz w:val="18"/>
                <w:szCs w:val="18"/>
              </w:rPr>
            </w:pPr>
            <w:r w:rsidRPr="00BB57F6">
              <w:rPr>
                <w:rFonts w:cstheme="minorHAnsi"/>
                <w:b/>
                <w:bCs/>
                <w:sz w:val="18"/>
                <w:szCs w:val="18"/>
              </w:rPr>
              <w:t>(TOTAL INCOME LESS TOTAL EXPENDITURE)</w:t>
            </w:r>
          </w:p>
        </w:tc>
        <w:tc>
          <w:tcPr>
            <w:tcW w:w="1420" w:type="dxa"/>
            <w:shd w:val="clear" w:color="auto" w:fill="FEE38C"/>
          </w:tcPr>
          <w:p w14:paraId="175BFF49" w14:textId="6B43008B" w:rsidR="00C362E2" w:rsidRPr="009B2573" w:rsidRDefault="00C362E2" w:rsidP="00E34BCA">
            <w:pPr>
              <w:rPr>
                <w:rFonts w:cstheme="minorHAnsi"/>
                <w:b/>
                <w:bCs/>
                <w:sz w:val="21"/>
                <w:szCs w:val="21"/>
              </w:rPr>
            </w:pPr>
            <w:r w:rsidRPr="009B2573">
              <w:rPr>
                <w:rFonts w:cstheme="minorHAnsi"/>
                <w:b/>
                <w:bCs/>
                <w:sz w:val="21"/>
                <w:szCs w:val="21"/>
              </w:rPr>
              <w:t>£</w:t>
            </w:r>
          </w:p>
        </w:tc>
        <w:tc>
          <w:tcPr>
            <w:tcW w:w="1414" w:type="dxa"/>
            <w:shd w:val="clear" w:color="auto" w:fill="FEE38C"/>
          </w:tcPr>
          <w:p w14:paraId="3F5D40C7" w14:textId="52DB6165" w:rsidR="00C362E2" w:rsidRPr="009B2573" w:rsidRDefault="007D07EE" w:rsidP="00E34BCA">
            <w:pPr>
              <w:rPr>
                <w:rFonts w:cstheme="minorHAnsi"/>
                <w:b/>
                <w:bCs/>
                <w:sz w:val="21"/>
                <w:szCs w:val="21"/>
              </w:rPr>
            </w:pPr>
            <w:r>
              <w:rPr>
                <w:rFonts w:cstheme="minorHAnsi"/>
                <w:b/>
                <w:bCs/>
                <w:sz w:val="21"/>
                <w:szCs w:val="21"/>
              </w:rPr>
              <w:t>£</w:t>
            </w:r>
          </w:p>
        </w:tc>
      </w:tr>
      <w:tr w:rsidR="00C362E2" w14:paraId="41535672" w14:textId="77777777" w:rsidTr="007D07EE">
        <w:trPr>
          <w:gridAfter w:val="1"/>
          <w:wAfter w:w="11" w:type="dxa"/>
        </w:trPr>
        <w:tc>
          <w:tcPr>
            <w:tcW w:w="1414" w:type="dxa"/>
            <w:shd w:val="clear" w:color="auto" w:fill="A8D08D"/>
          </w:tcPr>
          <w:p w14:paraId="65A37EF6" w14:textId="284C1F93" w:rsidR="00C362E2" w:rsidRPr="009B2573" w:rsidRDefault="00C362E2" w:rsidP="003C5CF4">
            <w:pPr>
              <w:rPr>
                <w:b/>
                <w:bCs/>
                <w:sz w:val="21"/>
                <w:szCs w:val="21"/>
              </w:rPr>
            </w:pPr>
          </w:p>
        </w:tc>
        <w:tc>
          <w:tcPr>
            <w:tcW w:w="5946" w:type="dxa"/>
            <w:tcBorders>
              <w:top w:val="nil"/>
              <w:left w:val="single" w:sz="4" w:space="0" w:color="auto"/>
              <w:bottom w:val="single" w:sz="4" w:space="0" w:color="auto"/>
              <w:right w:val="single" w:sz="4" w:space="0" w:color="auto"/>
            </w:tcBorders>
            <w:shd w:val="clear" w:color="auto" w:fill="A8D08D"/>
          </w:tcPr>
          <w:p w14:paraId="4FB4AFFE" w14:textId="77777777" w:rsidR="00C362E2" w:rsidRDefault="00C362E2" w:rsidP="009A0CB0">
            <w:pPr>
              <w:rPr>
                <w:rFonts w:cstheme="minorHAnsi"/>
                <w:b/>
                <w:bCs/>
                <w:sz w:val="21"/>
                <w:szCs w:val="21"/>
              </w:rPr>
            </w:pPr>
            <w:r>
              <w:rPr>
                <w:rFonts w:cstheme="minorHAnsi"/>
                <w:b/>
                <w:bCs/>
                <w:sz w:val="21"/>
                <w:szCs w:val="21"/>
              </w:rPr>
              <w:t>OTHER CASH FLOWS</w:t>
            </w:r>
          </w:p>
          <w:p w14:paraId="4C4A7D81" w14:textId="3AEF3CEB" w:rsidR="00C362E2" w:rsidRPr="009B2573" w:rsidRDefault="00C362E2" w:rsidP="003C5CF4">
            <w:pPr>
              <w:rPr>
                <w:rFonts w:cstheme="minorHAnsi"/>
                <w:b/>
                <w:bCs/>
                <w:color w:val="000000"/>
                <w:sz w:val="21"/>
                <w:szCs w:val="21"/>
              </w:rPr>
            </w:pPr>
          </w:p>
        </w:tc>
        <w:tc>
          <w:tcPr>
            <w:tcW w:w="1420" w:type="dxa"/>
            <w:shd w:val="clear" w:color="auto" w:fill="A8D08D"/>
          </w:tcPr>
          <w:p w14:paraId="60BDAB68" w14:textId="4BFF838A" w:rsidR="00C362E2" w:rsidRPr="009B2573" w:rsidRDefault="00C362E2" w:rsidP="003C5CF4">
            <w:pPr>
              <w:rPr>
                <w:rFonts w:cstheme="minorHAnsi"/>
                <w:b/>
                <w:bCs/>
                <w:sz w:val="21"/>
                <w:szCs w:val="21"/>
              </w:rPr>
            </w:pPr>
            <w:r w:rsidRPr="009B2573">
              <w:rPr>
                <w:rFonts w:cstheme="minorHAnsi"/>
                <w:b/>
                <w:bCs/>
                <w:sz w:val="21"/>
                <w:szCs w:val="21"/>
              </w:rPr>
              <w:t>£</w:t>
            </w:r>
          </w:p>
        </w:tc>
        <w:tc>
          <w:tcPr>
            <w:tcW w:w="1414" w:type="dxa"/>
            <w:shd w:val="clear" w:color="auto" w:fill="A8D08D"/>
          </w:tcPr>
          <w:p w14:paraId="6765A40C" w14:textId="1E60BDDD" w:rsidR="00C362E2" w:rsidRPr="009B2573" w:rsidRDefault="00C362E2" w:rsidP="003C5CF4">
            <w:pPr>
              <w:rPr>
                <w:rFonts w:cstheme="minorHAnsi"/>
                <w:b/>
                <w:bCs/>
                <w:sz w:val="21"/>
                <w:szCs w:val="21"/>
              </w:rPr>
            </w:pPr>
            <w:r w:rsidRPr="009B2573">
              <w:rPr>
                <w:rFonts w:cstheme="minorHAnsi"/>
                <w:b/>
                <w:bCs/>
                <w:sz w:val="21"/>
                <w:szCs w:val="21"/>
              </w:rPr>
              <w:t>£</w:t>
            </w:r>
          </w:p>
        </w:tc>
      </w:tr>
      <w:tr w:rsidR="00C362E2" w14:paraId="1268013D" w14:textId="77777777" w:rsidTr="007D07EE">
        <w:trPr>
          <w:gridAfter w:val="1"/>
          <w:wAfter w:w="11" w:type="dxa"/>
        </w:trPr>
        <w:tc>
          <w:tcPr>
            <w:tcW w:w="1414" w:type="dxa"/>
          </w:tcPr>
          <w:p w14:paraId="6D112E65" w14:textId="77777777" w:rsidR="00C362E2" w:rsidRPr="009B2573" w:rsidRDefault="00C362E2" w:rsidP="003C5CF4">
            <w:pPr>
              <w:rPr>
                <w:b/>
                <w:bCs/>
                <w:sz w:val="21"/>
                <w:szCs w:val="21"/>
              </w:rPr>
            </w:pPr>
          </w:p>
        </w:tc>
        <w:tc>
          <w:tcPr>
            <w:tcW w:w="5946" w:type="dxa"/>
            <w:tcBorders>
              <w:top w:val="nil"/>
              <w:left w:val="single" w:sz="4" w:space="0" w:color="auto"/>
              <w:bottom w:val="single" w:sz="4" w:space="0" w:color="auto"/>
              <w:right w:val="single" w:sz="4" w:space="0" w:color="auto"/>
            </w:tcBorders>
          </w:tcPr>
          <w:p w14:paraId="472DC796" w14:textId="61D07984" w:rsidR="00C362E2" w:rsidRPr="009B2573" w:rsidRDefault="00C362E2" w:rsidP="009A0CB0">
            <w:pPr>
              <w:rPr>
                <w:rFonts w:cstheme="minorHAnsi"/>
                <w:b/>
                <w:bCs/>
                <w:sz w:val="21"/>
                <w:szCs w:val="21"/>
              </w:rPr>
            </w:pPr>
            <w:r>
              <w:t>New loans received (drawn down)</w:t>
            </w:r>
          </w:p>
        </w:tc>
        <w:tc>
          <w:tcPr>
            <w:tcW w:w="1420" w:type="dxa"/>
          </w:tcPr>
          <w:p w14:paraId="424E98BD" w14:textId="77777777" w:rsidR="00C362E2" w:rsidRPr="009B2573" w:rsidRDefault="00C362E2" w:rsidP="003C5CF4">
            <w:pPr>
              <w:rPr>
                <w:rFonts w:cstheme="minorHAnsi"/>
                <w:b/>
                <w:bCs/>
                <w:sz w:val="21"/>
                <w:szCs w:val="21"/>
              </w:rPr>
            </w:pPr>
          </w:p>
        </w:tc>
        <w:tc>
          <w:tcPr>
            <w:tcW w:w="1414" w:type="dxa"/>
          </w:tcPr>
          <w:p w14:paraId="5C465CEE" w14:textId="77777777" w:rsidR="00C362E2" w:rsidRPr="009B2573" w:rsidRDefault="00C362E2" w:rsidP="003C5CF4">
            <w:pPr>
              <w:rPr>
                <w:rFonts w:cstheme="minorHAnsi"/>
                <w:b/>
                <w:bCs/>
                <w:sz w:val="21"/>
                <w:szCs w:val="21"/>
              </w:rPr>
            </w:pPr>
          </w:p>
        </w:tc>
      </w:tr>
      <w:tr w:rsidR="00C362E2" w14:paraId="69200606" w14:textId="77777777" w:rsidTr="007D07EE">
        <w:trPr>
          <w:gridAfter w:val="1"/>
          <w:wAfter w:w="11" w:type="dxa"/>
        </w:trPr>
        <w:tc>
          <w:tcPr>
            <w:tcW w:w="1414" w:type="dxa"/>
          </w:tcPr>
          <w:p w14:paraId="1BE38265" w14:textId="77777777" w:rsidR="00C362E2" w:rsidRPr="009B2573" w:rsidRDefault="00C362E2" w:rsidP="003C5CF4">
            <w:pPr>
              <w:rPr>
                <w:b/>
                <w:bCs/>
                <w:sz w:val="21"/>
                <w:szCs w:val="21"/>
              </w:rPr>
            </w:pPr>
          </w:p>
        </w:tc>
        <w:tc>
          <w:tcPr>
            <w:tcW w:w="5946" w:type="dxa"/>
            <w:tcBorders>
              <w:top w:val="nil"/>
              <w:left w:val="single" w:sz="4" w:space="0" w:color="auto"/>
              <w:bottom w:val="single" w:sz="4" w:space="0" w:color="auto"/>
              <w:right w:val="single" w:sz="4" w:space="0" w:color="auto"/>
            </w:tcBorders>
            <w:vAlign w:val="bottom"/>
          </w:tcPr>
          <w:p w14:paraId="020E1FE8" w14:textId="7F463640" w:rsidR="00C362E2" w:rsidRPr="00FE3BBB" w:rsidRDefault="00C362E2" w:rsidP="003C5CF4">
            <w:pPr>
              <w:rPr>
                <w:rFonts w:cstheme="minorHAnsi"/>
                <w:sz w:val="21"/>
                <w:szCs w:val="21"/>
              </w:rPr>
            </w:pPr>
            <w:r w:rsidRPr="0016337E">
              <w:rPr>
                <w:rFonts w:cstheme="minorHAnsi"/>
                <w:b/>
                <w:bCs/>
                <w:color w:val="FF0000"/>
                <w:sz w:val="21"/>
                <w:szCs w:val="21"/>
              </w:rPr>
              <w:t>LESS</w:t>
            </w:r>
            <w:r>
              <w:rPr>
                <w:rFonts w:cstheme="minorHAnsi"/>
                <w:color w:val="000000"/>
                <w:sz w:val="21"/>
                <w:szCs w:val="21"/>
              </w:rPr>
              <w:t xml:space="preserve"> </w:t>
            </w:r>
            <w:r w:rsidR="001D30E2">
              <w:rPr>
                <w:rFonts w:cstheme="minorHAnsi"/>
                <w:color w:val="000000"/>
                <w:sz w:val="21"/>
                <w:szCs w:val="21"/>
              </w:rPr>
              <w:t>C</w:t>
            </w:r>
            <w:r w:rsidRPr="009B2573">
              <w:rPr>
                <w:rFonts w:cstheme="minorHAnsi"/>
                <w:color w:val="000000"/>
                <w:sz w:val="21"/>
                <w:szCs w:val="21"/>
              </w:rPr>
              <w:t>apital expenditure</w:t>
            </w:r>
          </w:p>
        </w:tc>
        <w:tc>
          <w:tcPr>
            <w:tcW w:w="1420" w:type="dxa"/>
          </w:tcPr>
          <w:p w14:paraId="72EAB822" w14:textId="77777777" w:rsidR="00C362E2" w:rsidRPr="009B2573" w:rsidRDefault="00C362E2" w:rsidP="003C5CF4">
            <w:pPr>
              <w:rPr>
                <w:rFonts w:cstheme="minorHAnsi"/>
                <w:b/>
                <w:bCs/>
                <w:sz w:val="21"/>
                <w:szCs w:val="21"/>
              </w:rPr>
            </w:pPr>
          </w:p>
        </w:tc>
        <w:tc>
          <w:tcPr>
            <w:tcW w:w="1414" w:type="dxa"/>
          </w:tcPr>
          <w:p w14:paraId="31A6DAAE" w14:textId="77777777" w:rsidR="00C362E2" w:rsidRPr="009B2573" w:rsidRDefault="00C362E2" w:rsidP="003C5CF4">
            <w:pPr>
              <w:rPr>
                <w:rFonts w:cstheme="minorHAnsi"/>
                <w:b/>
                <w:bCs/>
                <w:sz w:val="21"/>
                <w:szCs w:val="21"/>
              </w:rPr>
            </w:pPr>
          </w:p>
        </w:tc>
      </w:tr>
      <w:tr w:rsidR="00C362E2" w14:paraId="532D6BA2" w14:textId="77777777" w:rsidTr="007D07EE">
        <w:trPr>
          <w:gridAfter w:val="1"/>
          <w:wAfter w:w="11" w:type="dxa"/>
        </w:trPr>
        <w:tc>
          <w:tcPr>
            <w:tcW w:w="1414" w:type="dxa"/>
          </w:tcPr>
          <w:p w14:paraId="0FBFEFC7" w14:textId="77777777" w:rsidR="00C362E2" w:rsidRPr="009B2573" w:rsidRDefault="00C362E2" w:rsidP="003C5CF4">
            <w:pPr>
              <w:rPr>
                <w:sz w:val="21"/>
                <w:szCs w:val="21"/>
              </w:rPr>
            </w:pPr>
          </w:p>
        </w:tc>
        <w:tc>
          <w:tcPr>
            <w:tcW w:w="5946" w:type="dxa"/>
            <w:tcBorders>
              <w:top w:val="nil"/>
              <w:left w:val="single" w:sz="4" w:space="0" w:color="auto"/>
              <w:bottom w:val="single" w:sz="4" w:space="0" w:color="auto"/>
              <w:right w:val="single" w:sz="4" w:space="0" w:color="auto"/>
            </w:tcBorders>
            <w:vAlign w:val="bottom"/>
          </w:tcPr>
          <w:p w14:paraId="515E632F" w14:textId="09D8BCAA" w:rsidR="00C362E2" w:rsidRPr="009B2573" w:rsidRDefault="00C362E2" w:rsidP="003C5CF4">
            <w:pPr>
              <w:rPr>
                <w:rFonts w:cstheme="minorHAnsi"/>
                <w:b/>
                <w:bCs/>
                <w:sz w:val="21"/>
                <w:szCs w:val="21"/>
              </w:rPr>
            </w:pPr>
            <w:r w:rsidRPr="0016337E">
              <w:rPr>
                <w:rFonts w:cstheme="minorHAnsi"/>
                <w:b/>
                <w:bCs/>
                <w:color w:val="FF0000"/>
                <w:sz w:val="21"/>
                <w:szCs w:val="21"/>
              </w:rPr>
              <w:t>LESS</w:t>
            </w:r>
            <w:r w:rsidRPr="009B2573">
              <w:rPr>
                <w:rFonts w:cstheme="minorHAnsi"/>
                <w:color w:val="000000"/>
                <w:sz w:val="21"/>
                <w:szCs w:val="21"/>
              </w:rPr>
              <w:t xml:space="preserve"> Loan repayments</w:t>
            </w:r>
          </w:p>
        </w:tc>
        <w:tc>
          <w:tcPr>
            <w:tcW w:w="1420" w:type="dxa"/>
          </w:tcPr>
          <w:p w14:paraId="2D0FDD43" w14:textId="77777777" w:rsidR="00C362E2" w:rsidRPr="009B2573" w:rsidRDefault="00C362E2" w:rsidP="003C5CF4">
            <w:pPr>
              <w:rPr>
                <w:rFonts w:cstheme="minorHAnsi"/>
                <w:b/>
                <w:bCs/>
                <w:sz w:val="21"/>
                <w:szCs w:val="21"/>
              </w:rPr>
            </w:pPr>
          </w:p>
        </w:tc>
        <w:tc>
          <w:tcPr>
            <w:tcW w:w="1414" w:type="dxa"/>
          </w:tcPr>
          <w:p w14:paraId="54A82F5A" w14:textId="77777777" w:rsidR="00C362E2" w:rsidRPr="009B2573" w:rsidRDefault="00C362E2" w:rsidP="003C5CF4">
            <w:pPr>
              <w:rPr>
                <w:rFonts w:cstheme="minorHAnsi"/>
                <w:sz w:val="21"/>
                <w:szCs w:val="21"/>
              </w:rPr>
            </w:pPr>
          </w:p>
        </w:tc>
      </w:tr>
      <w:tr w:rsidR="00C362E2" w14:paraId="27349638" w14:textId="77777777" w:rsidTr="007D07EE">
        <w:trPr>
          <w:gridAfter w:val="1"/>
          <w:wAfter w:w="11" w:type="dxa"/>
        </w:trPr>
        <w:tc>
          <w:tcPr>
            <w:tcW w:w="1414" w:type="dxa"/>
          </w:tcPr>
          <w:p w14:paraId="1086FAD3" w14:textId="77777777" w:rsidR="00C362E2" w:rsidRPr="009B2573" w:rsidRDefault="00C362E2" w:rsidP="003C5CF4">
            <w:pPr>
              <w:rPr>
                <w:sz w:val="21"/>
                <w:szCs w:val="21"/>
              </w:rPr>
            </w:pPr>
          </w:p>
        </w:tc>
        <w:tc>
          <w:tcPr>
            <w:tcW w:w="5946" w:type="dxa"/>
            <w:tcBorders>
              <w:top w:val="nil"/>
              <w:left w:val="single" w:sz="4" w:space="0" w:color="auto"/>
              <w:bottom w:val="single" w:sz="4" w:space="0" w:color="auto"/>
              <w:right w:val="single" w:sz="4" w:space="0" w:color="auto"/>
            </w:tcBorders>
            <w:vAlign w:val="bottom"/>
          </w:tcPr>
          <w:p w14:paraId="25512361" w14:textId="2706A889" w:rsidR="00C362E2" w:rsidRPr="009B2573" w:rsidRDefault="00C362E2" w:rsidP="003C5CF4">
            <w:pPr>
              <w:rPr>
                <w:rFonts w:cstheme="minorHAnsi"/>
                <w:b/>
                <w:bCs/>
                <w:sz w:val="21"/>
                <w:szCs w:val="21"/>
              </w:rPr>
            </w:pPr>
            <w:r w:rsidRPr="0016337E">
              <w:rPr>
                <w:rFonts w:cstheme="minorHAnsi"/>
                <w:b/>
                <w:bCs/>
                <w:color w:val="FF0000"/>
                <w:sz w:val="21"/>
                <w:szCs w:val="21"/>
              </w:rPr>
              <w:t>LESS</w:t>
            </w:r>
            <w:r w:rsidRPr="009B2573">
              <w:rPr>
                <w:rFonts w:cstheme="minorHAnsi"/>
                <w:color w:val="000000"/>
                <w:sz w:val="21"/>
                <w:szCs w:val="21"/>
              </w:rPr>
              <w:t xml:space="preserve"> Other</w:t>
            </w:r>
          </w:p>
        </w:tc>
        <w:tc>
          <w:tcPr>
            <w:tcW w:w="1420" w:type="dxa"/>
          </w:tcPr>
          <w:p w14:paraId="34C718F4" w14:textId="77777777" w:rsidR="00C362E2" w:rsidRPr="009B2573" w:rsidRDefault="00C362E2" w:rsidP="003C5CF4">
            <w:pPr>
              <w:rPr>
                <w:rFonts w:cstheme="minorHAnsi"/>
                <w:b/>
                <w:bCs/>
                <w:sz w:val="21"/>
                <w:szCs w:val="21"/>
              </w:rPr>
            </w:pPr>
          </w:p>
        </w:tc>
        <w:tc>
          <w:tcPr>
            <w:tcW w:w="1414" w:type="dxa"/>
          </w:tcPr>
          <w:p w14:paraId="551524E0" w14:textId="77777777" w:rsidR="00C362E2" w:rsidRPr="009B2573" w:rsidRDefault="00C362E2" w:rsidP="003C5CF4">
            <w:pPr>
              <w:rPr>
                <w:rFonts w:cstheme="minorHAnsi"/>
                <w:sz w:val="21"/>
                <w:szCs w:val="21"/>
              </w:rPr>
            </w:pPr>
          </w:p>
        </w:tc>
      </w:tr>
      <w:tr w:rsidR="00C362E2" w14:paraId="3388199E" w14:textId="77777777" w:rsidTr="007D07EE">
        <w:trPr>
          <w:gridAfter w:val="1"/>
          <w:wAfter w:w="11" w:type="dxa"/>
        </w:trPr>
        <w:tc>
          <w:tcPr>
            <w:tcW w:w="1414" w:type="dxa"/>
            <w:shd w:val="clear" w:color="auto" w:fill="A8D08D"/>
          </w:tcPr>
          <w:p w14:paraId="3375D8FF" w14:textId="7FB01DF1" w:rsidR="00C362E2" w:rsidRPr="008E7203" w:rsidRDefault="008E7203" w:rsidP="003C5CF4">
            <w:pPr>
              <w:rPr>
                <w:b/>
                <w:bCs/>
                <w:sz w:val="21"/>
                <w:szCs w:val="21"/>
              </w:rPr>
            </w:pPr>
            <w:r>
              <w:rPr>
                <w:b/>
                <w:bCs/>
                <w:sz w:val="21"/>
                <w:szCs w:val="21"/>
              </w:rPr>
              <w:t>Total</w:t>
            </w:r>
          </w:p>
        </w:tc>
        <w:tc>
          <w:tcPr>
            <w:tcW w:w="5946" w:type="dxa"/>
            <w:tcBorders>
              <w:top w:val="nil"/>
              <w:left w:val="single" w:sz="4" w:space="0" w:color="auto"/>
              <w:bottom w:val="single" w:sz="4" w:space="0" w:color="auto"/>
              <w:right w:val="single" w:sz="4" w:space="0" w:color="auto"/>
            </w:tcBorders>
            <w:shd w:val="clear" w:color="auto" w:fill="A8D08D"/>
            <w:vAlign w:val="bottom"/>
          </w:tcPr>
          <w:p w14:paraId="4FB02592" w14:textId="77777777" w:rsidR="00C362E2" w:rsidRDefault="00C362E2" w:rsidP="00F207F6">
            <w:pPr>
              <w:rPr>
                <w:rFonts w:cstheme="minorHAnsi"/>
                <w:b/>
                <w:bCs/>
                <w:color w:val="000000"/>
                <w:sz w:val="21"/>
                <w:szCs w:val="21"/>
              </w:rPr>
            </w:pPr>
            <w:r>
              <w:rPr>
                <w:rFonts w:cstheme="minorHAnsi"/>
                <w:b/>
                <w:bCs/>
                <w:color w:val="000000"/>
                <w:sz w:val="21"/>
                <w:szCs w:val="21"/>
              </w:rPr>
              <w:t xml:space="preserve">NET OTHER CASH FLOWS </w:t>
            </w:r>
          </w:p>
          <w:p w14:paraId="4B1283E8" w14:textId="457C615E" w:rsidR="00C362E2" w:rsidRPr="009B2573" w:rsidRDefault="00C362E2" w:rsidP="003C5CF4">
            <w:pPr>
              <w:rPr>
                <w:rFonts w:cstheme="minorHAnsi"/>
                <w:b/>
                <w:bCs/>
                <w:sz w:val="21"/>
                <w:szCs w:val="21"/>
              </w:rPr>
            </w:pPr>
          </w:p>
        </w:tc>
        <w:tc>
          <w:tcPr>
            <w:tcW w:w="1420" w:type="dxa"/>
            <w:shd w:val="clear" w:color="auto" w:fill="A8D08D"/>
          </w:tcPr>
          <w:p w14:paraId="205B29E2" w14:textId="2279AAE0" w:rsidR="00C362E2" w:rsidRPr="009B2573" w:rsidRDefault="008E7203" w:rsidP="003C5CF4">
            <w:pPr>
              <w:rPr>
                <w:rFonts w:cstheme="minorHAnsi"/>
                <w:b/>
                <w:bCs/>
                <w:sz w:val="21"/>
                <w:szCs w:val="21"/>
              </w:rPr>
            </w:pPr>
            <w:r>
              <w:rPr>
                <w:rFonts w:cstheme="minorHAnsi"/>
                <w:b/>
                <w:bCs/>
                <w:sz w:val="21"/>
                <w:szCs w:val="21"/>
              </w:rPr>
              <w:t>£</w:t>
            </w:r>
          </w:p>
        </w:tc>
        <w:tc>
          <w:tcPr>
            <w:tcW w:w="1414" w:type="dxa"/>
            <w:shd w:val="clear" w:color="auto" w:fill="A8D08D"/>
          </w:tcPr>
          <w:p w14:paraId="64628B55" w14:textId="309D24D3" w:rsidR="00C362E2" w:rsidRPr="009B2573" w:rsidRDefault="008E7203" w:rsidP="003C5CF4">
            <w:pPr>
              <w:rPr>
                <w:rFonts w:cstheme="minorHAnsi"/>
                <w:sz w:val="21"/>
                <w:szCs w:val="21"/>
              </w:rPr>
            </w:pPr>
            <w:r>
              <w:rPr>
                <w:rFonts w:cstheme="minorHAnsi"/>
                <w:sz w:val="21"/>
                <w:szCs w:val="21"/>
              </w:rPr>
              <w:t>£</w:t>
            </w:r>
          </w:p>
        </w:tc>
      </w:tr>
      <w:tr w:rsidR="003C5CF4" w14:paraId="5AF77ABB" w14:textId="77777777" w:rsidTr="007D07EE">
        <w:trPr>
          <w:gridAfter w:val="1"/>
          <w:wAfter w:w="11" w:type="dxa"/>
          <w:trHeight w:val="564"/>
        </w:trPr>
        <w:tc>
          <w:tcPr>
            <w:tcW w:w="1414" w:type="dxa"/>
            <w:shd w:val="clear" w:color="auto" w:fill="FEE38C"/>
          </w:tcPr>
          <w:p w14:paraId="25E8392A" w14:textId="7B19E4C4" w:rsidR="003C5CF4" w:rsidRPr="009B2573" w:rsidRDefault="00373446" w:rsidP="003C5CF4">
            <w:pPr>
              <w:rPr>
                <w:b/>
                <w:bCs/>
                <w:sz w:val="21"/>
                <w:szCs w:val="21"/>
              </w:rPr>
            </w:pPr>
            <w:r w:rsidRPr="009B2573">
              <w:rPr>
                <w:b/>
                <w:bCs/>
                <w:sz w:val="21"/>
                <w:szCs w:val="21"/>
              </w:rPr>
              <w:t>Total</w:t>
            </w:r>
          </w:p>
        </w:tc>
        <w:tc>
          <w:tcPr>
            <w:tcW w:w="5946" w:type="dxa"/>
            <w:shd w:val="clear" w:color="auto" w:fill="FEE38C"/>
          </w:tcPr>
          <w:p w14:paraId="37842079" w14:textId="77777777" w:rsidR="00556D78" w:rsidRDefault="00895B5B" w:rsidP="00556D78">
            <w:pPr>
              <w:rPr>
                <w:rFonts w:cstheme="minorHAnsi"/>
                <w:b/>
                <w:bCs/>
                <w:sz w:val="21"/>
                <w:szCs w:val="21"/>
              </w:rPr>
            </w:pPr>
            <w:r>
              <w:rPr>
                <w:rFonts w:cstheme="minorHAnsi"/>
                <w:b/>
                <w:bCs/>
                <w:sz w:val="21"/>
                <w:szCs w:val="21"/>
              </w:rPr>
              <w:t xml:space="preserve">NET </w:t>
            </w:r>
            <w:r w:rsidR="00D24A84">
              <w:rPr>
                <w:rFonts w:cstheme="minorHAnsi"/>
                <w:b/>
                <w:bCs/>
                <w:sz w:val="21"/>
                <w:szCs w:val="21"/>
              </w:rPr>
              <w:t>CASH FLOWS</w:t>
            </w:r>
          </w:p>
          <w:p w14:paraId="58E5D5E6" w14:textId="18600A9E" w:rsidR="00BA2BD5" w:rsidRPr="00BA2BD5" w:rsidRDefault="00BA2BD5" w:rsidP="00556D78">
            <w:pPr>
              <w:rPr>
                <w:rFonts w:cstheme="minorHAnsi"/>
                <w:b/>
                <w:bCs/>
                <w:sz w:val="18"/>
                <w:szCs w:val="18"/>
              </w:rPr>
            </w:pPr>
            <w:r>
              <w:rPr>
                <w:rFonts w:cstheme="minorHAnsi"/>
                <w:b/>
                <w:bCs/>
                <w:sz w:val="18"/>
                <w:szCs w:val="18"/>
              </w:rPr>
              <w:t>(</w:t>
            </w:r>
            <w:r w:rsidR="00556D78">
              <w:rPr>
                <w:rFonts w:cstheme="minorHAnsi"/>
                <w:b/>
                <w:bCs/>
                <w:sz w:val="18"/>
                <w:szCs w:val="18"/>
              </w:rPr>
              <w:t>NET OPERATING CASH FLOWS LESS NET OTHER CASH FLOWS)</w:t>
            </w:r>
          </w:p>
        </w:tc>
        <w:tc>
          <w:tcPr>
            <w:tcW w:w="1420" w:type="dxa"/>
            <w:shd w:val="clear" w:color="auto" w:fill="FEE38C"/>
          </w:tcPr>
          <w:p w14:paraId="044BCA00" w14:textId="6E668411" w:rsidR="003C5CF4" w:rsidRPr="009B2573" w:rsidRDefault="003C5CF4" w:rsidP="003C5CF4">
            <w:pPr>
              <w:rPr>
                <w:rFonts w:cstheme="minorHAnsi"/>
                <w:b/>
                <w:bCs/>
                <w:sz w:val="21"/>
                <w:szCs w:val="21"/>
              </w:rPr>
            </w:pPr>
            <w:r w:rsidRPr="009B2573">
              <w:rPr>
                <w:rFonts w:cstheme="minorHAnsi"/>
                <w:b/>
                <w:bCs/>
                <w:sz w:val="21"/>
                <w:szCs w:val="21"/>
              </w:rPr>
              <w:t>£</w:t>
            </w:r>
          </w:p>
        </w:tc>
        <w:tc>
          <w:tcPr>
            <w:tcW w:w="1414" w:type="dxa"/>
            <w:shd w:val="clear" w:color="auto" w:fill="FEE38C"/>
          </w:tcPr>
          <w:p w14:paraId="51C368C2" w14:textId="77777777" w:rsidR="009B2573" w:rsidRDefault="003C5CF4" w:rsidP="00FF2A81">
            <w:pPr>
              <w:rPr>
                <w:rFonts w:cstheme="minorHAnsi"/>
                <w:b/>
                <w:bCs/>
                <w:sz w:val="21"/>
                <w:szCs w:val="21"/>
              </w:rPr>
            </w:pPr>
            <w:r w:rsidRPr="009B2573">
              <w:rPr>
                <w:rFonts w:cstheme="minorHAnsi"/>
                <w:b/>
                <w:bCs/>
                <w:sz w:val="21"/>
                <w:szCs w:val="21"/>
              </w:rPr>
              <w:t>£</w:t>
            </w:r>
          </w:p>
          <w:p w14:paraId="6A9115A0" w14:textId="26586F44" w:rsidR="00F7039C" w:rsidRPr="009B2573" w:rsidRDefault="00F7039C" w:rsidP="00FF2A81">
            <w:pPr>
              <w:rPr>
                <w:rFonts w:cstheme="minorHAnsi"/>
                <w:b/>
                <w:bCs/>
                <w:sz w:val="21"/>
                <w:szCs w:val="21"/>
              </w:rPr>
            </w:pPr>
          </w:p>
        </w:tc>
      </w:tr>
    </w:tbl>
    <w:p w14:paraId="408224AB" w14:textId="17857431" w:rsidR="003B1540" w:rsidRDefault="003B1540"/>
    <w:p w14:paraId="75C7345E" w14:textId="77777777" w:rsidR="003B1540" w:rsidRDefault="003B1540">
      <w:r>
        <w:br w:type="page"/>
      </w:r>
    </w:p>
    <w:p w14:paraId="3AD29352" w14:textId="77777777" w:rsidR="002422CE" w:rsidRDefault="002422CE" w:rsidP="006C658E">
      <w:pPr>
        <w:tabs>
          <w:tab w:val="left" w:pos="4320"/>
        </w:tabs>
        <w:rPr>
          <w:b/>
          <w:bCs/>
        </w:rPr>
      </w:pPr>
    </w:p>
    <w:p w14:paraId="76E58690" w14:textId="03CBC1B3" w:rsidR="00240404" w:rsidRDefault="00775A24" w:rsidP="006C658E">
      <w:pPr>
        <w:tabs>
          <w:tab w:val="left" w:pos="4320"/>
        </w:tabs>
        <w:rPr>
          <w:b/>
          <w:bCs/>
        </w:rPr>
      </w:pPr>
      <w:r>
        <w:rPr>
          <w:b/>
          <w:bCs/>
        </w:rPr>
        <w:t xml:space="preserve">NOTE: </w:t>
      </w:r>
    </w:p>
    <w:p w14:paraId="414B91B8" w14:textId="3EF2F365" w:rsidR="00031BA4" w:rsidRDefault="00775A24" w:rsidP="003B1540">
      <w:pPr>
        <w:tabs>
          <w:tab w:val="left" w:pos="4320"/>
        </w:tabs>
      </w:pPr>
      <w:r>
        <w:t xml:space="preserve">As part of </w:t>
      </w:r>
      <w:r w:rsidR="00C03A4A">
        <w:t xml:space="preserve">the </w:t>
      </w:r>
      <w:r>
        <w:t xml:space="preserve">annual budget planning </w:t>
      </w:r>
      <w:r w:rsidR="00C03A4A">
        <w:t xml:space="preserve">process </w:t>
      </w:r>
      <w:r w:rsidR="0021122D">
        <w:t xml:space="preserve">it is recommended that </w:t>
      </w:r>
      <w:r w:rsidR="003178A5">
        <w:t xml:space="preserve">transfers are made from the </w:t>
      </w:r>
      <w:r w:rsidR="00E45D35">
        <w:t>I</w:t>
      </w:r>
      <w:r w:rsidR="003178A5">
        <w:t xml:space="preserve">ncome and </w:t>
      </w:r>
      <w:r w:rsidR="00E45D35">
        <w:t>E</w:t>
      </w:r>
      <w:r w:rsidR="003178A5">
        <w:t xml:space="preserve">xpenditure </w:t>
      </w:r>
      <w:r w:rsidR="00E45D35">
        <w:t>A</w:t>
      </w:r>
      <w:r w:rsidR="003178A5">
        <w:t xml:space="preserve">ccount to </w:t>
      </w:r>
      <w:r w:rsidR="000A4305">
        <w:t>d</w:t>
      </w:r>
      <w:r w:rsidR="0021122D">
        <w:t>esignated reserve fund</w:t>
      </w:r>
      <w:r w:rsidR="000A4305">
        <w:t>s</w:t>
      </w:r>
      <w:r w:rsidR="0021122D">
        <w:t xml:space="preserve"> </w:t>
      </w:r>
      <w:r w:rsidR="000841E4">
        <w:t xml:space="preserve">to cover </w:t>
      </w:r>
      <w:r w:rsidR="003C6D53">
        <w:t xml:space="preserve">one off major repairs and improvements </w:t>
      </w:r>
      <w:r w:rsidR="00FD2150">
        <w:t>(</w:t>
      </w:r>
      <w:r w:rsidR="00DC5C15" w:rsidRPr="00DC5C15">
        <w:t>Extraordinary Repair Fund</w:t>
      </w:r>
      <w:r w:rsidR="00FD2150">
        <w:t>) a</w:t>
      </w:r>
      <w:r w:rsidR="003C6D53">
        <w:t xml:space="preserve">nd </w:t>
      </w:r>
      <w:r w:rsidR="00A1414C" w:rsidRPr="00A1414C">
        <w:t xml:space="preserve">planned </w:t>
      </w:r>
      <w:r w:rsidR="00183F60" w:rsidRPr="00A1414C">
        <w:t>maintenance</w:t>
      </w:r>
      <w:r w:rsidR="00A1414C" w:rsidRPr="00A1414C">
        <w:t xml:space="preserve"> which is carried out at infrequent but regular intervals</w:t>
      </w:r>
      <w:r w:rsidR="00A1414C">
        <w:t xml:space="preserve"> </w:t>
      </w:r>
      <w:r w:rsidR="003E5DD6">
        <w:t>(</w:t>
      </w:r>
      <w:r w:rsidR="003E5DD6" w:rsidRPr="003E5DD6">
        <w:t>Cyclical Maintenance Fund</w:t>
      </w:r>
      <w:r w:rsidR="000A4305">
        <w:t xml:space="preserve">). </w:t>
      </w:r>
      <w:r w:rsidR="002422CE">
        <w:t xml:space="preserve">Further details </w:t>
      </w:r>
      <w:r w:rsidR="0093625A">
        <w:t xml:space="preserve">on this are provided in </w:t>
      </w:r>
      <w:r w:rsidR="000A4305">
        <w:t>note 5</w:t>
      </w:r>
      <w:r w:rsidR="0093625A">
        <w:t xml:space="preserve">. Whilst </w:t>
      </w:r>
      <w:r w:rsidR="00436FFE">
        <w:t>such transfers represent non cas</w:t>
      </w:r>
      <w:r w:rsidR="008A016F">
        <w:t>h</w:t>
      </w:r>
      <w:r w:rsidR="00436FFE">
        <w:t xml:space="preserve"> movements</w:t>
      </w:r>
      <w:r w:rsidR="00137711">
        <w:t xml:space="preserve"> it should be part of </w:t>
      </w:r>
      <w:r w:rsidR="00C13B3F">
        <w:t xml:space="preserve">the </w:t>
      </w:r>
      <w:r w:rsidR="00E5193A">
        <w:t xml:space="preserve">budget </w:t>
      </w:r>
      <w:r w:rsidR="00C13B3F">
        <w:t>process</w:t>
      </w:r>
      <w:r w:rsidR="00933F3D">
        <w:t xml:space="preserve"> as represented</w:t>
      </w:r>
      <w:r w:rsidR="00E404F4">
        <w:t xml:space="preserve"> in the table below</w:t>
      </w:r>
      <w:r w:rsidR="00382D79">
        <w:t>.</w:t>
      </w:r>
      <w:r w:rsidR="00C13B3F">
        <w:t xml:space="preserve"> </w:t>
      </w:r>
      <w:r w:rsidR="00B27CAD">
        <w:t xml:space="preserve"> </w:t>
      </w:r>
      <w:r w:rsidR="00E5193A">
        <w:t xml:space="preserve"> </w:t>
      </w:r>
    </w:p>
    <w:p w14:paraId="3F19EC71" w14:textId="77777777" w:rsidR="00382D79" w:rsidRDefault="00382D79" w:rsidP="003B1540">
      <w:pPr>
        <w:tabs>
          <w:tab w:val="left" w:pos="4320"/>
        </w:tabs>
      </w:pPr>
    </w:p>
    <w:tbl>
      <w:tblPr>
        <w:tblStyle w:val="TableGrid"/>
        <w:tblW w:w="10205" w:type="dxa"/>
        <w:tblLook w:val="04A0" w:firstRow="1" w:lastRow="0" w:firstColumn="1" w:lastColumn="0" w:noHBand="0" w:noVBand="1"/>
      </w:tblPr>
      <w:tblGrid>
        <w:gridCol w:w="1415"/>
        <w:gridCol w:w="5955"/>
        <w:gridCol w:w="1423"/>
        <w:gridCol w:w="1412"/>
      </w:tblGrid>
      <w:tr w:rsidR="00E404F4" w:rsidRPr="009B2573" w14:paraId="05BCE5C9" w14:textId="77777777" w:rsidTr="00382D79">
        <w:tc>
          <w:tcPr>
            <w:tcW w:w="1415" w:type="dxa"/>
            <w:shd w:val="clear" w:color="auto" w:fill="BCBCBC"/>
          </w:tcPr>
          <w:p w14:paraId="3B3F48E9" w14:textId="77777777" w:rsidR="00E404F4" w:rsidRPr="009B2573" w:rsidRDefault="00E404F4" w:rsidP="00C46978">
            <w:pPr>
              <w:rPr>
                <w:b/>
                <w:bCs/>
                <w:sz w:val="21"/>
                <w:szCs w:val="21"/>
              </w:rPr>
            </w:pPr>
          </w:p>
        </w:tc>
        <w:tc>
          <w:tcPr>
            <w:tcW w:w="5955" w:type="dxa"/>
            <w:shd w:val="clear" w:color="auto" w:fill="BCBCBC"/>
          </w:tcPr>
          <w:p w14:paraId="452A4A7B" w14:textId="77777777" w:rsidR="00E404F4" w:rsidRDefault="00382D79" w:rsidP="00C46978">
            <w:pPr>
              <w:rPr>
                <w:rFonts w:cstheme="minorHAnsi"/>
                <w:b/>
                <w:bCs/>
                <w:sz w:val="21"/>
                <w:szCs w:val="21"/>
              </w:rPr>
            </w:pPr>
            <w:r>
              <w:rPr>
                <w:rFonts w:cstheme="minorHAnsi"/>
                <w:b/>
                <w:bCs/>
                <w:sz w:val="21"/>
                <w:szCs w:val="21"/>
              </w:rPr>
              <w:t>Description</w:t>
            </w:r>
          </w:p>
          <w:p w14:paraId="05DCF0D5" w14:textId="5FC74EC3" w:rsidR="00382D79" w:rsidRDefault="00382D79" w:rsidP="00C46978">
            <w:pPr>
              <w:rPr>
                <w:rFonts w:cstheme="minorHAnsi"/>
                <w:b/>
                <w:bCs/>
                <w:sz w:val="21"/>
                <w:szCs w:val="21"/>
              </w:rPr>
            </w:pPr>
          </w:p>
        </w:tc>
        <w:tc>
          <w:tcPr>
            <w:tcW w:w="1423" w:type="dxa"/>
            <w:shd w:val="clear" w:color="auto" w:fill="BCBCBC"/>
          </w:tcPr>
          <w:p w14:paraId="080FDB39" w14:textId="77C87E60" w:rsidR="00E404F4" w:rsidRPr="009B2573" w:rsidRDefault="00382D79" w:rsidP="00C46978">
            <w:pPr>
              <w:rPr>
                <w:rFonts w:cstheme="minorHAnsi"/>
                <w:b/>
                <w:bCs/>
                <w:sz w:val="21"/>
                <w:szCs w:val="21"/>
              </w:rPr>
            </w:pPr>
            <w:r>
              <w:rPr>
                <w:rFonts w:cstheme="minorHAnsi"/>
                <w:b/>
                <w:bCs/>
                <w:sz w:val="21"/>
                <w:szCs w:val="21"/>
              </w:rPr>
              <w:t>2025 (£)</w:t>
            </w:r>
          </w:p>
        </w:tc>
        <w:tc>
          <w:tcPr>
            <w:tcW w:w="1412" w:type="dxa"/>
            <w:shd w:val="clear" w:color="auto" w:fill="BCBCBC"/>
          </w:tcPr>
          <w:p w14:paraId="6359C3E4" w14:textId="405B51E1" w:rsidR="00E404F4" w:rsidRPr="009B2573" w:rsidRDefault="00382D79" w:rsidP="00C46978">
            <w:pPr>
              <w:rPr>
                <w:rFonts w:cstheme="minorHAnsi"/>
                <w:b/>
                <w:bCs/>
                <w:sz w:val="21"/>
                <w:szCs w:val="21"/>
              </w:rPr>
            </w:pPr>
            <w:r>
              <w:rPr>
                <w:rFonts w:cstheme="minorHAnsi"/>
                <w:b/>
                <w:bCs/>
                <w:sz w:val="21"/>
                <w:szCs w:val="21"/>
              </w:rPr>
              <w:t>2026</w:t>
            </w:r>
            <w:r w:rsidR="008C7C9F">
              <w:rPr>
                <w:rFonts w:cstheme="minorHAnsi"/>
                <w:b/>
                <w:bCs/>
                <w:sz w:val="21"/>
                <w:szCs w:val="21"/>
              </w:rPr>
              <w:t xml:space="preserve"> Proposed figure (£)</w:t>
            </w:r>
          </w:p>
        </w:tc>
      </w:tr>
      <w:tr w:rsidR="003B1540" w:rsidRPr="009B2573" w14:paraId="3549B09B" w14:textId="77777777" w:rsidTr="00C46978">
        <w:tc>
          <w:tcPr>
            <w:tcW w:w="1415" w:type="dxa"/>
            <w:shd w:val="clear" w:color="auto" w:fill="FEE38C"/>
          </w:tcPr>
          <w:p w14:paraId="378DB0EB" w14:textId="77777777" w:rsidR="003B1540" w:rsidRDefault="003B1540" w:rsidP="00C46978">
            <w:pPr>
              <w:rPr>
                <w:b/>
                <w:bCs/>
                <w:sz w:val="21"/>
                <w:szCs w:val="21"/>
              </w:rPr>
            </w:pPr>
            <w:r w:rsidRPr="009B2573">
              <w:rPr>
                <w:b/>
                <w:bCs/>
                <w:sz w:val="21"/>
                <w:szCs w:val="21"/>
              </w:rPr>
              <w:t>Total</w:t>
            </w:r>
          </w:p>
        </w:tc>
        <w:tc>
          <w:tcPr>
            <w:tcW w:w="5955" w:type="dxa"/>
            <w:shd w:val="clear" w:color="auto" w:fill="FEE38C"/>
          </w:tcPr>
          <w:p w14:paraId="51C8FA51" w14:textId="77777777" w:rsidR="003B1540" w:rsidRDefault="003B1540" w:rsidP="00C46978">
            <w:pPr>
              <w:rPr>
                <w:rFonts w:cstheme="minorHAnsi"/>
                <w:b/>
                <w:bCs/>
                <w:sz w:val="21"/>
                <w:szCs w:val="21"/>
              </w:rPr>
            </w:pPr>
            <w:r>
              <w:rPr>
                <w:rFonts w:cstheme="minorHAnsi"/>
                <w:b/>
                <w:bCs/>
                <w:sz w:val="21"/>
                <w:szCs w:val="21"/>
              </w:rPr>
              <w:t>NET CASH FLOWS</w:t>
            </w:r>
          </w:p>
          <w:p w14:paraId="2637D230" w14:textId="77777777" w:rsidR="003B1540" w:rsidRPr="009F5F61" w:rsidRDefault="003B1540" w:rsidP="00C46978">
            <w:pPr>
              <w:rPr>
                <w:rFonts w:cstheme="minorHAnsi"/>
                <w:sz w:val="21"/>
                <w:szCs w:val="21"/>
              </w:rPr>
            </w:pPr>
            <w:r>
              <w:rPr>
                <w:rFonts w:cstheme="minorHAnsi"/>
                <w:b/>
                <w:bCs/>
                <w:sz w:val="18"/>
                <w:szCs w:val="18"/>
              </w:rPr>
              <w:t>(NET OPERATING CASH FLOWS LESS NET OTHER CASH FLOWS)</w:t>
            </w:r>
          </w:p>
        </w:tc>
        <w:tc>
          <w:tcPr>
            <w:tcW w:w="1423" w:type="dxa"/>
            <w:shd w:val="clear" w:color="auto" w:fill="FEE38C"/>
          </w:tcPr>
          <w:p w14:paraId="46875055" w14:textId="77777777" w:rsidR="003B1540" w:rsidRPr="009B2573" w:rsidRDefault="003B1540" w:rsidP="00C46978">
            <w:pPr>
              <w:rPr>
                <w:rFonts w:cstheme="minorHAnsi"/>
                <w:b/>
                <w:bCs/>
                <w:sz w:val="21"/>
                <w:szCs w:val="21"/>
              </w:rPr>
            </w:pPr>
            <w:r w:rsidRPr="009B2573">
              <w:rPr>
                <w:rFonts w:cstheme="minorHAnsi"/>
                <w:b/>
                <w:bCs/>
                <w:sz w:val="21"/>
                <w:szCs w:val="21"/>
              </w:rPr>
              <w:t>£</w:t>
            </w:r>
          </w:p>
        </w:tc>
        <w:tc>
          <w:tcPr>
            <w:tcW w:w="1412" w:type="dxa"/>
            <w:shd w:val="clear" w:color="auto" w:fill="FEE38C"/>
          </w:tcPr>
          <w:p w14:paraId="50219F00" w14:textId="77777777" w:rsidR="003B1540" w:rsidRDefault="003B1540" w:rsidP="00C46978">
            <w:pPr>
              <w:rPr>
                <w:rFonts w:cstheme="minorHAnsi"/>
                <w:b/>
                <w:bCs/>
                <w:sz w:val="21"/>
                <w:szCs w:val="21"/>
              </w:rPr>
            </w:pPr>
            <w:r w:rsidRPr="009B2573">
              <w:rPr>
                <w:rFonts w:cstheme="minorHAnsi"/>
                <w:b/>
                <w:bCs/>
                <w:sz w:val="21"/>
                <w:szCs w:val="21"/>
              </w:rPr>
              <w:t>£</w:t>
            </w:r>
          </w:p>
          <w:p w14:paraId="34DD9FD6" w14:textId="77777777" w:rsidR="003B1540" w:rsidRPr="009B2573" w:rsidRDefault="003B1540" w:rsidP="00C46978">
            <w:pPr>
              <w:rPr>
                <w:rFonts w:cstheme="minorHAnsi"/>
                <w:b/>
                <w:bCs/>
                <w:sz w:val="21"/>
                <w:szCs w:val="21"/>
              </w:rPr>
            </w:pPr>
          </w:p>
        </w:tc>
      </w:tr>
      <w:tr w:rsidR="003B1540" w:rsidRPr="009B2573" w14:paraId="6FD70F6B" w14:textId="77777777" w:rsidTr="00C46978">
        <w:tc>
          <w:tcPr>
            <w:tcW w:w="1415" w:type="dxa"/>
            <w:shd w:val="clear" w:color="auto" w:fill="AEAAAA" w:themeFill="background2" w:themeFillShade="BF"/>
          </w:tcPr>
          <w:p w14:paraId="6708F84F" w14:textId="77777777" w:rsidR="003B1540" w:rsidRPr="009B2573" w:rsidRDefault="003B1540" w:rsidP="00C46978">
            <w:pPr>
              <w:rPr>
                <w:b/>
                <w:bCs/>
                <w:sz w:val="21"/>
                <w:szCs w:val="21"/>
              </w:rPr>
            </w:pPr>
            <w:r>
              <w:rPr>
                <w:b/>
                <w:bCs/>
                <w:sz w:val="21"/>
                <w:szCs w:val="21"/>
              </w:rPr>
              <w:t>NOTE 5</w:t>
            </w:r>
          </w:p>
        </w:tc>
        <w:tc>
          <w:tcPr>
            <w:tcW w:w="5955" w:type="dxa"/>
          </w:tcPr>
          <w:p w14:paraId="5E2ACBE9" w14:textId="77777777" w:rsidR="003B1540" w:rsidRPr="009F5F61" w:rsidRDefault="003B1540" w:rsidP="00C46978">
            <w:pPr>
              <w:rPr>
                <w:rFonts w:cstheme="minorHAnsi"/>
                <w:sz w:val="21"/>
                <w:szCs w:val="21"/>
              </w:rPr>
            </w:pPr>
            <w:r w:rsidRPr="009F5F61">
              <w:rPr>
                <w:rFonts w:cstheme="minorHAnsi"/>
                <w:sz w:val="21"/>
                <w:szCs w:val="21"/>
              </w:rPr>
              <w:t>Transfer to Extraordinary Repair Fund (ERF) reserve</w:t>
            </w:r>
          </w:p>
        </w:tc>
        <w:tc>
          <w:tcPr>
            <w:tcW w:w="1423" w:type="dxa"/>
          </w:tcPr>
          <w:p w14:paraId="2ADD81FD" w14:textId="77777777" w:rsidR="003B1540" w:rsidRPr="009B2573" w:rsidRDefault="003B1540" w:rsidP="00C46978">
            <w:pPr>
              <w:rPr>
                <w:rFonts w:cstheme="minorHAnsi"/>
                <w:b/>
                <w:bCs/>
                <w:sz w:val="21"/>
                <w:szCs w:val="21"/>
              </w:rPr>
            </w:pPr>
          </w:p>
        </w:tc>
        <w:tc>
          <w:tcPr>
            <w:tcW w:w="1412" w:type="dxa"/>
          </w:tcPr>
          <w:p w14:paraId="0ED0804F" w14:textId="77777777" w:rsidR="003B1540" w:rsidRPr="009B2573" w:rsidRDefault="003B1540" w:rsidP="00C46978">
            <w:pPr>
              <w:rPr>
                <w:rFonts w:cstheme="minorHAnsi"/>
                <w:b/>
                <w:bCs/>
                <w:sz w:val="21"/>
                <w:szCs w:val="21"/>
              </w:rPr>
            </w:pPr>
          </w:p>
        </w:tc>
      </w:tr>
      <w:tr w:rsidR="003B1540" w:rsidRPr="009B2573" w14:paraId="7675B830" w14:textId="77777777" w:rsidTr="00C46978">
        <w:tc>
          <w:tcPr>
            <w:tcW w:w="1415" w:type="dxa"/>
            <w:shd w:val="clear" w:color="auto" w:fill="AEAAAA" w:themeFill="background2" w:themeFillShade="BF"/>
          </w:tcPr>
          <w:p w14:paraId="287768F8" w14:textId="75104381" w:rsidR="003B1540" w:rsidRPr="009B2573" w:rsidRDefault="003B1540" w:rsidP="00C46978">
            <w:pPr>
              <w:rPr>
                <w:b/>
                <w:bCs/>
                <w:sz w:val="21"/>
                <w:szCs w:val="21"/>
              </w:rPr>
            </w:pPr>
            <w:r>
              <w:rPr>
                <w:b/>
                <w:bCs/>
                <w:sz w:val="21"/>
                <w:szCs w:val="21"/>
              </w:rPr>
              <w:t>NOTE 5</w:t>
            </w:r>
          </w:p>
        </w:tc>
        <w:tc>
          <w:tcPr>
            <w:tcW w:w="5955" w:type="dxa"/>
          </w:tcPr>
          <w:p w14:paraId="0802B78E" w14:textId="77777777" w:rsidR="003B1540" w:rsidRPr="00D15CDD" w:rsidRDefault="003B1540" w:rsidP="00C46978">
            <w:pPr>
              <w:rPr>
                <w:rFonts w:cstheme="minorHAnsi"/>
                <w:sz w:val="21"/>
                <w:szCs w:val="21"/>
              </w:rPr>
            </w:pPr>
            <w:r w:rsidRPr="00D15CDD">
              <w:rPr>
                <w:rFonts w:cstheme="minorHAnsi"/>
                <w:sz w:val="21"/>
                <w:szCs w:val="21"/>
              </w:rPr>
              <w:t>Transfer to Cyclical Maintenance Fund (CMF) reserve</w:t>
            </w:r>
          </w:p>
        </w:tc>
        <w:tc>
          <w:tcPr>
            <w:tcW w:w="1423" w:type="dxa"/>
          </w:tcPr>
          <w:p w14:paraId="6B4884AC" w14:textId="77777777" w:rsidR="003B1540" w:rsidRPr="009B2573" w:rsidRDefault="003B1540" w:rsidP="00C46978">
            <w:pPr>
              <w:rPr>
                <w:rFonts w:cstheme="minorHAnsi"/>
                <w:b/>
                <w:bCs/>
                <w:sz w:val="21"/>
                <w:szCs w:val="21"/>
              </w:rPr>
            </w:pPr>
          </w:p>
        </w:tc>
        <w:tc>
          <w:tcPr>
            <w:tcW w:w="1412" w:type="dxa"/>
          </w:tcPr>
          <w:p w14:paraId="58169C44" w14:textId="77777777" w:rsidR="003B1540" w:rsidRPr="009B2573" w:rsidRDefault="003B1540" w:rsidP="00C46978">
            <w:pPr>
              <w:rPr>
                <w:rFonts w:cstheme="minorHAnsi"/>
                <w:b/>
                <w:bCs/>
                <w:sz w:val="21"/>
                <w:szCs w:val="21"/>
              </w:rPr>
            </w:pPr>
          </w:p>
        </w:tc>
      </w:tr>
      <w:tr w:rsidR="003B1540" w:rsidRPr="009B2573" w14:paraId="10A7C7A2" w14:textId="77777777" w:rsidTr="00C46978">
        <w:tc>
          <w:tcPr>
            <w:tcW w:w="1415" w:type="dxa"/>
            <w:shd w:val="clear" w:color="auto" w:fill="FFFFFF" w:themeFill="background1"/>
          </w:tcPr>
          <w:p w14:paraId="1D280153" w14:textId="77777777" w:rsidR="003B1540" w:rsidRDefault="003B1540" w:rsidP="00C46978">
            <w:pPr>
              <w:rPr>
                <w:b/>
                <w:bCs/>
                <w:sz w:val="21"/>
                <w:szCs w:val="21"/>
              </w:rPr>
            </w:pPr>
            <w:r>
              <w:rPr>
                <w:b/>
                <w:bCs/>
                <w:sz w:val="21"/>
                <w:szCs w:val="21"/>
              </w:rPr>
              <w:t>Sub total</w:t>
            </w:r>
          </w:p>
        </w:tc>
        <w:tc>
          <w:tcPr>
            <w:tcW w:w="5955" w:type="dxa"/>
          </w:tcPr>
          <w:p w14:paraId="22C7989B" w14:textId="77777777" w:rsidR="003B1540" w:rsidRPr="00E73F81" w:rsidRDefault="003B1540" w:rsidP="00C46978">
            <w:pPr>
              <w:rPr>
                <w:rFonts w:cstheme="minorHAnsi"/>
                <w:b/>
                <w:bCs/>
                <w:sz w:val="21"/>
                <w:szCs w:val="21"/>
              </w:rPr>
            </w:pPr>
            <w:r w:rsidRPr="00E73F81">
              <w:rPr>
                <w:rFonts w:cstheme="minorHAnsi"/>
                <w:b/>
                <w:bCs/>
                <w:sz w:val="21"/>
                <w:szCs w:val="21"/>
              </w:rPr>
              <w:t xml:space="preserve">Total ERF and CMF </w:t>
            </w:r>
            <w:r>
              <w:rPr>
                <w:rFonts w:cstheme="minorHAnsi"/>
                <w:b/>
                <w:bCs/>
                <w:sz w:val="21"/>
                <w:szCs w:val="21"/>
              </w:rPr>
              <w:t xml:space="preserve">transfers </w:t>
            </w:r>
          </w:p>
        </w:tc>
        <w:tc>
          <w:tcPr>
            <w:tcW w:w="1423" w:type="dxa"/>
          </w:tcPr>
          <w:p w14:paraId="5E3648C6" w14:textId="77777777" w:rsidR="003B1540" w:rsidRPr="009B2573" w:rsidRDefault="003B1540" w:rsidP="00C46978">
            <w:pPr>
              <w:rPr>
                <w:rFonts w:cstheme="minorHAnsi"/>
                <w:b/>
                <w:bCs/>
                <w:sz w:val="21"/>
                <w:szCs w:val="21"/>
              </w:rPr>
            </w:pPr>
            <w:r>
              <w:rPr>
                <w:rFonts w:cstheme="minorHAnsi"/>
                <w:b/>
                <w:bCs/>
                <w:sz w:val="21"/>
                <w:szCs w:val="21"/>
              </w:rPr>
              <w:t>£</w:t>
            </w:r>
          </w:p>
        </w:tc>
        <w:tc>
          <w:tcPr>
            <w:tcW w:w="1412" w:type="dxa"/>
          </w:tcPr>
          <w:p w14:paraId="6392C54B" w14:textId="77777777" w:rsidR="003B1540" w:rsidRPr="009B2573" w:rsidRDefault="003B1540" w:rsidP="00C46978">
            <w:pPr>
              <w:rPr>
                <w:rFonts w:cstheme="minorHAnsi"/>
                <w:b/>
                <w:bCs/>
                <w:sz w:val="21"/>
                <w:szCs w:val="21"/>
              </w:rPr>
            </w:pPr>
            <w:r>
              <w:rPr>
                <w:rFonts w:cstheme="minorHAnsi"/>
                <w:b/>
                <w:bCs/>
                <w:sz w:val="21"/>
                <w:szCs w:val="21"/>
              </w:rPr>
              <w:t>£</w:t>
            </w:r>
          </w:p>
        </w:tc>
      </w:tr>
      <w:tr w:rsidR="003B1540" w:rsidRPr="009B2573" w14:paraId="4D22C0FC" w14:textId="77777777" w:rsidTr="00C46978">
        <w:tc>
          <w:tcPr>
            <w:tcW w:w="1415" w:type="dxa"/>
            <w:shd w:val="clear" w:color="auto" w:fill="FEE38C"/>
          </w:tcPr>
          <w:p w14:paraId="0FA24F39" w14:textId="77777777" w:rsidR="003B1540" w:rsidRDefault="003B1540" w:rsidP="00C46978">
            <w:pPr>
              <w:rPr>
                <w:b/>
                <w:bCs/>
                <w:sz w:val="21"/>
                <w:szCs w:val="21"/>
              </w:rPr>
            </w:pPr>
            <w:r>
              <w:rPr>
                <w:b/>
                <w:bCs/>
                <w:sz w:val="21"/>
                <w:szCs w:val="21"/>
              </w:rPr>
              <w:t>Total</w:t>
            </w:r>
          </w:p>
        </w:tc>
        <w:tc>
          <w:tcPr>
            <w:tcW w:w="5955" w:type="dxa"/>
            <w:shd w:val="clear" w:color="auto" w:fill="FEE38C"/>
          </w:tcPr>
          <w:p w14:paraId="5B99A0AC" w14:textId="7B666876" w:rsidR="003B1540" w:rsidRDefault="003B1540" w:rsidP="00C46978">
            <w:pPr>
              <w:rPr>
                <w:rFonts w:cstheme="minorHAnsi"/>
                <w:b/>
                <w:bCs/>
                <w:sz w:val="21"/>
                <w:szCs w:val="21"/>
              </w:rPr>
            </w:pPr>
            <w:r w:rsidRPr="004308F3">
              <w:rPr>
                <w:rFonts w:cstheme="minorHAnsi"/>
                <w:b/>
                <w:bCs/>
                <w:sz w:val="21"/>
                <w:szCs w:val="21"/>
              </w:rPr>
              <w:t xml:space="preserve">NET CASH FLOWS LESS </w:t>
            </w:r>
            <w:r w:rsidR="000608C9">
              <w:rPr>
                <w:rFonts w:cstheme="minorHAnsi"/>
                <w:b/>
                <w:bCs/>
                <w:sz w:val="21"/>
                <w:szCs w:val="21"/>
              </w:rPr>
              <w:t xml:space="preserve">TOTAL </w:t>
            </w:r>
            <w:r>
              <w:rPr>
                <w:rFonts w:cstheme="minorHAnsi"/>
                <w:b/>
                <w:bCs/>
                <w:sz w:val="21"/>
                <w:szCs w:val="21"/>
              </w:rPr>
              <w:t xml:space="preserve">ERF AND CMF </w:t>
            </w:r>
            <w:r w:rsidR="000608C9">
              <w:rPr>
                <w:rFonts w:cstheme="minorHAnsi"/>
                <w:b/>
                <w:bCs/>
                <w:sz w:val="21"/>
                <w:szCs w:val="21"/>
              </w:rPr>
              <w:t>TRANSFERS</w:t>
            </w:r>
          </w:p>
          <w:p w14:paraId="60C5E81D" w14:textId="775828D9" w:rsidR="005932A8" w:rsidRPr="00E73F81" w:rsidRDefault="005932A8" w:rsidP="00C46978">
            <w:pPr>
              <w:rPr>
                <w:rFonts w:cstheme="minorHAnsi"/>
                <w:b/>
                <w:bCs/>
                <w:sz w:val="21"/>
                <w:szCs w:val="21"/>
              </w:rPr>
            </w:pPr>
          </w:p>
        </w:tc>
        <w:tc>
          <w:tcPr>
            <w:tcW w:w="1423" w:type="dxa"/>
            <w:shd w:val="clear" w:color="auto" w:fill="FEE38C"/>
          </w:tcPr>
          <w:p w14:paraId="23669966" w14:textId="77777777" w:rsidR="003B1540" w:rsidRPr="009B2573" w:rsidRDefault="003B1540" w:rsidP="00C46978">
            <w:pPr>
              <w:rPr>
                <w:rFonts w:cstheme="minorHAnsi"/>
                <w:b/>
                <w:bCs/>
                <w:sz w:val="21"/>
                <w:szCs w:val="21"/>
              </w:rPr>
            </w:pPr>
            <w:r>
              <w:rPr>
                <w:rFonts w:cstheme="minorHAnsi"/>
                <w:b/>
                <w:bCs/>
                <w:sz w:val="21"/>
                <w:szCs w:val="21"/>
              </w:rPr>
              <w:t>£</w:t>
            </w:r>
          </w:p>
        </w:tc>
        <w:tc>
          <w:tcPr>
            <w:tcW w:w="1412" w:type="dxa"/>
            <w:shd w:val="clear" w:color="auto" w:fill="FEE38C"/>
          </w:tcPr>
          <w:p w14:paraId="32179102" w14:textId="77777777" w:rsidR="003B1540" w:rsidRPr="009B2573" w:rsidRDefault="003B1540" w:rsidP="00C46978">
            <w:pPr>
              <w:rPr>
                <w:rFonts w:cstheme="minorHAnsi"/>
                <w:b/>
                <w:bCs/>
                <w:sz w:val="21"/>
                <w:szCs w:val="21"/>
              </w:rPr>
            </w:pPr>
            <w:r>
              <w:rPr>
                <w:rFonts w:cstheme="minorHAnsi"/>
                <w:b/>
                <w:bCs/>
                <w:sz w:val="21"/>
                <w:szCs w:val="21"/>
              </w:rPr>
              <w:t>£</w:t>
            </w:r>
          </w:p>
        </w:tc>
      </w:tr>
    </w:tbl>
    <w:p w14:paraId="63AAEFBD" w14:textId="77777777" w:rsidR="00337A08" w:rsidRDefault="00337A08" w:rsidP="00337A08">
      <w:pPr>
        <w:pStyle w:val="ListParagraph"/>
        <w:tabs>
          <w:tab w:val="left" w:pos="4320"/>
        </w:tabs>
      </w:pPr>
    </w:p>
    <w:p w14:paraId="664D51FE" w14:textId="4FAA5CAF" w:rsidR="00337A08" w:rsidRPr="003F1808" w:rsidRDefault="00B5133B" w:rsidP="003F1808">
      <w:pPr>
        <w:tabs>
          <w:tab w:val="left" w:pos="4320"/>
        </w:tabs>
      </w:pPr>
      <w:r w:rsidRPr="003F1808">
        <w:t>I</w:t>
      </w:r>
      <w:r w:rsidR="00563375" w:rsidRPr="003F1808">
        <w:t xml:space="preserve">f </w:t>
      </w:r>
      <w:r w:rsidR="00EC084E" w:rsidRPr="003F1808">
        <w:t xml:space="preserve">a </w:t>
      </w:r>
      <w:r w:rsidRPr="003F1808">
        <w:t xml:space="preserve">Quinquennial </w:t>
      </w:r>
      <w:r w:rsidR="00EC084E" w:rsidRPr="003F1808">
        <w:t xml:space="preserve">Inspection has recently been undertaken and this has highlighted works </w:t>
      </w:r>
      <w:r w:rsidR="002E71BD" w:rsidRPr="003F1808">
        <w:t xml:space="preserve">that are required to </w:t>
      </w:r>
      <w:r w:rsidR="00212322">
        <w:t>the</w:t>
      </w:r>
      <w:r w:rsidR="002E71BD" w:rsidRPr="003F1808">
        <w:t xml:space="preserve"> almshouses </w:t>
      </w:r>
      <w:r w:rsidR="00F4632D" w:rsidRPr="003F1808">
        <w:t xml:space="preserve">in the </w:t>
      </w:r>
      <w:r w:rsidR="002E71BD" w:rsidRPr="003F1808">
        <w:t xml:space="preserve">coming year remember to include </w:t>
      </w:r>
      <w:r w:rsidR="00F4632D" w:rsidRPr="003F1808">
        <w:t>these amounts under ‘general and routine ma</w:t>
      </w:r>
      <w:r w:rsidR="00157270" w:rsidRPr="003F1808">
        <w:t>intenance’ to the degree to which these costs will not be met by the ERF and/or CMF.</w:t>
      </w:r>
    </w:p>
    <w:p w14:paraId="095334E8" w14:textId="77777777" w:rsidR="00F472E9" w:rsidRPr="003F1808" w:rsidRDefault="00F472E9" w:rsidP="006C658E">
      <w:pPr>
        <w:tabs>
          <w:tab w:val="left" w:pos="4320"/>
        </w:tabs>
      </w:pPr>
    </w:p>
    <w:p w14:paraId="1F997E9F" w14:textId="76051C65" w:rsidR="001E7105" w:rsidRPr="001E7105" w:rsidRDefault="001E7105" w:rsidP="006C658E">
      <w:pPr>
        <w:tabs>
          <w:tab w:val="left" w:pos="4320"/>
        </w:tabs>
        <w:rPr>
          <w:b/>
          <w:bCs/>
          <w:sz w:val="28"/>
          <w:szCs w:val="28"/>
        </w:rPr>
      </w:pPr>
      <w:r w:rsidRPr="001E7105">
        <w:rPr>
          <w:b/>
          <w:bCs/>
          <w:sz w:val="28"/>
          <w:szCs w:val="28"/>
        </w:rPr>
        <w:t xml:space="preserve">Specimen </w:t>
      </w:r>
      <w:r w:rsidR="00395CE1">
        <w:rPr>
          <w:b/>
          <w:bCs/>
          <w:sz w:val="28"/>
          <w:szCs w:val="28"/>
        </w:rPr>
        <w:t>o</w:t>
      </w:r>
      <w:r w:rsidRPr="001E7105">
        <w:rPr>
          <w:b/>
          <w:bCs/>
          <w:sz w:val="28"/>
          <w:szCs w:val="28"/>
        </w:rPr>
        <w:t>utline budget notes</w:t>
      </w:r>
    </w:p>
    <w:p w14:paraId="4119973E" w14:textId="6757C77D" w:rsidR="00395CE1" w:rsidRPr="00395CE1" w:rsidRDefault="00395CE1" w:rsidP="00EA4DFC">
      <w:pPr>
        <w:rPr>
          <w:b/>
          <w:bCs/>
        </w:rPr>
      </w:pPr>
      <w:r w:rsidRPr="00395CE1">
        <w:rPr>
          <w:b/>
          <w:bCs/>
        </w:rPr>
        <w:t>Overview</w:t>
      </w:r>
    </w:p>
    <w:p w14:paraId="6032BC79" w14:textId="57DA646B" w:rsidR="00416911" w:rsidRDefault="00F7039C" w:rsidP="00416911">
      <w:pPr>
        <w:rPr>
          <w:i/>
          <w:iCs/>
        </w:rPr>
      </w:pPr>
      <w:r>
        <w:t>T</w:t>
      </w:r>
      <w:r w:rsidR="00416911">
        <w:t xml:space="preserve">he almshouse model uses the definition of affordability as: </w:t>
      </w:r>
      <w:r w:rsidR="00416911">
        <w:rPr>
          <w:i/>
          <w:iCs/>
        </w:rPr>
        <w:t>“by living in an almshouse the resident should not face greater hardship</w:t>
      </w:r>
      <w:r w:rsidR="00B351F6">
        <w:rPr>
          <w:i/>
          <w:iCs/>
        </w:rPr>
        <w:t>.”</w:t>
      </w:r>
    </w:p>
    <w:p w14:paraId="15754C85" w14:textId="75245DFC" w:rsidR="00416911" w:rsidRDefault="00416911" w:rsidP="00416911">
      <w:r>
        <w:t xml:space="preserve">Further principles also apply in that the trustees have a duty to act in the charity’s best interests and maximise income where possible to protect the </w:t>
      </w:r>
      <w:r w:rsidR="002C7B2A">
        <w:t>long-term</w:t>
      </w:r>
      <w:r>
        <w:t xml:space="preserve"> viability of the charity.</w:t>
      </w:r>
    </w:p>
    <w:p w14:paraId="500546A2" w14:textId="418818F2" w:rsidR="00416911" w:rsidRDefault="00416911" w:rsidP="00416911">
      <w:r>
        <w:t xml:space="preserve">Guidance may be found in </w:t>
      </w:r>
      <w:hyperlink r:id="rId10" w:history="1">
        <w:r w:rsidRPr="00AD178E">
          <w:rPr>
            <w:rStyle w:val="Hyperlink"/>
          </w:rPr>
          <w:t>Standards of Almshouse Management</w:t>
        </w:r>
      </w:hyperlink>
      <w:r w:rsidRPr="00AD178E">
        <w:t xml:space="preserve"> </w:t>
      </w:r>
      <w:r>
        <w:t xml:space="preserve">as well as </w:t>
      </w:r>
      <w:r w:rsidR="00153B07">
        <w:t>in the notes</w:t>
      </w:r>
      <w:r>
        <w:t xml:space="preserve"> </w:t>
      </w:r>
      <w:r w:rsidR="00F44225">
        <w:t xml:space="preserve">below </w:t>
      </w:r>
      <w:r w:rsidR="00153B07">
        <w:t>covering</w:t>
      </w:r>
      <w:r w:rsidR="00ED403C">
        <w:t xml:space="preserve"> </w:t>
      </w:r>
      <w:r>
        <w:t>these two leading principles. Where residents are in financial need</w:t>
      </w:r>
      <w:r w:rsidR="00007E40">
        <w:t>,</w:t>
      </w:r>
      <w:r>
        <w:t xml:space="preserve"> they may be eligible to access Local Housing Allowance (LHA). If the LHA is close to the WMC in amount </w:t>
      </w:r>
      <w:r w:rsidR="00ED403C">
        <w:t xml:space="preserve">then it could be considered </w:t>
      </w:r>
      <w:r w:rsidR="00EA36C0">
        <w:t xml:space="preserve">that by living in an almshouse, </w:t>
      </w:r>
      <w:r>
        <w:t xml:space="preserve">many residents </w:t>
      </w:r>
      <w:r w:rsidR="00EA36C0">
        <w:t>are</w:t>
      </w:r>
      <w:r>
        <w:t xml:space="preserve"> protected from greater financial hardship.</w:t>
      </w:r>
    </w:p>
    <w:p w14:paraId="52FA7D56" w14:textId="7A46A70D" w:rsidR="001E7105" w:rsidRDefault="001E7105" w:rsidP="001E7105">
      <w:r>
        <w:t xml:space="preserve">The following </w:t>
      </w:r>
      <w:r w:rsidR="00301CEF">
        <w:t xml:space="preserve">notes </w:t>
      </w:r>
      <w:r>
        <w:t xml:space="preserve">should be read in conjunction with the additional notes on page </w:t>
      </w:r>
      <w:r w:rsidR="00BB6BE8">
        <w:t>5.</w:t>
      </w:r>
    </w:p>
    <w:p w14:paraId="339CA1CE" w14:textId="77777777" w:rsidR="005F3E7A" w:rsidRDefault="005F3E7A">
      <w:pPr>
        <w:rPr>
          <w:b/>
          <w:bCs/>
        </w:rPr>
      </w:pPr>
      <w:r>
        <w:rPr>
          <w:b/>
          <w:bCs/>
        </w:rPr>
        <w:br w:type="page"/>
      </w:r>
    </w:p>
    <w:p w14:paraId="7DFE4B28" w14:textId="77777777" w:rsidR="00BB6BE8" w:rsidRDefault="00BB6BE8" w:rsidP="001E7105">
      <w:pPr>
        <w:rPr>
          <w:b/>
          <w:bCs/>
        </w:rPr>
      </w:pPr>
    </w:p>
    <w:p w14:paraId="74D78247" w14:textId="76783E63" w:rsidR="00795EA9" w:rsidRDefault="00795EA9" w:rsidP="001E7105">
      <w:pPr>
        <w:rPr>
          <w:b/>
          <w:bCs/>
        </w:rPr>
      </w:pPr>
      <w:r>
        <w:rPr>
          <w:b/>
          <w:bCs/>
        </w:rPr>
        <w:t>NOTE 1</w:t>
      </w:r>
    </w:p>
    <w:p w14:paraId="1E5E3A71" w14:textId="36D3C273" w:rsidR="001E7105" w:rsidRDefault="001E7105" w:rsidP="001E7105">
      <w:r>
        <w:t>Advice on calculating W</w:t>
      </w:r>
      <w:r w:rsidR="009F5A9D">
        <w:t xml:space="preserve">eekly </w:t>
      </w:r>
      <w:r w:rsidR="009F5A9D" w:rsidRPr="009F5A9D">
        <w:t>Maintenance Contribution</w:t>
      </w:r>
      <w:r w:rsidR="009F5A9D">
        <w:t xml:space="preserve">s </w:t>
      </w:r>
      <w:r>
        <w:t>can be found in</w:t>
      </w:r>
      <w:r w:rsidR="00F148F2">
        <w:t xml:space="preserve"> the</w:t>
      </w:r>
      <w:r>
        <w:t xml:space="preserve"> </w:t>
      </w:r>
      <w:hyperlink r:id="rId11" w:history="1">
        <w:r w:rsidRPr="00F148F2">
          <w:rPr>
            <w:rStyle w:val="Hyperlink"/>
          </w:rPr>
          <w:t>Standards of Almshouse Management</w:t>
        </w:r>
        <w:r w:rsidR="00F148F2" w:rsidRPr="00F148F2">
          <w:rPr>
            <w:rStyle w:val="Hyperlink"/>
          </w:rPr>
          <w:t xml:space="preserve"> - </w:t>
        </w:r>
        <w:r w:rsidRPr="00F148F2">
          <w:rPr>
            <w:rStyle w:val="Hyperlink"/>
          </w:rPr>
          <w:t>Chapter 9</w:t>
        </w:r>
      </w:hyperlink>
      <w:r>
        <w:t xml:space="preserve"> </w:t>
      </w:r>
      <w:r w:rsidR="009F5A9D">
        <w:t xml:space="preserve">- </w:t>
      </w:r>
      <w:r>
        <w:t>Weekly Maintenance Contribution</w:t>
      </w:r>
      <w:r w:rsidR="00F148F2">
        <w:t>.</w:t>
      </w:r>
    </w:p>
    <w:p w14:paraId="1FF4B354" w14:textId="501BBBA4" w:rsidR="001E7105" w:rsidRDefault="001E7105" w:rsidP="001E7105">
      <w:r>
        <w:t>Weekly Maintenance Contribution</w:t>
      </w:r>
      <w:r w:rsidR="00F148F2">
        <w:t xml:space="preserve"> (WMC</w:t>
      </w:r>
      <w:r>
        <w:t xml:space="preserve">) – the full year figure to be calculated: </w:t>
      </w:r>
    </w:p>
    <w:p w14:paraId="099072CA" w14:textId="77777777" w:rsidR="001E7105" w:rsidRDefault="001E7105" w:rsidP="00C870A9">
      <w:pPr>
        <w:pStyle w:val="ListParagraph"/>
        <w:numPr>
          <w:ilvl w:val="0"/>
          <w:numId w:val="5"/>
        </w:numPr>
      </w:pPr>
      <w:r>
        <w:t xml:space="preserve">WMC per week x No. of Dwellings x 52 weeks. </w:t>
      </w:r>
    </w:p>
    <w:p w14:paraId="059057A0" w14:textId="55A2F75F" w:rsidR="001E7105" w:rsidRPr="007247D5" w:rsidRDefault="007247D5" w:rsidP="007247D5">
      <w:pPr>
        <w:rPr>
          <w:b/>
          <w:bCs/>
        </w:rPr>
      </w:pPr>
      <w:r w:rsidRPr="007247D5">
        <w:rPr>
          <w:b/>
          <w:bCs/>
        </w:rPr>
        <w:t>or</w:t>
      </w:r>
    </w:p>
    <w:p w14:paraId="0D7E36FF" w14:textId="27A5F4D5" w:rsidR="001E7105" w:rsidRDefault="001E7105" w:rsidP="007247D5">
      <w:r>
        <w:t>Monthly Maintenance Contribution</w:t>
      </w:r>
      <w:r w:rsidR="00F148F2">
        <w:t xml:space="preserve"> (MMC</w:t>
      </w:r>
      <w:r>
        <w:t>) - the full year figure to be calculated:</w:t>
      </w:r>
    </w:p>
    <w:p w14:paraId="3E108C02" w14:textId="77777777" w:rsidR="001E7105" w:rsidRDefault="001E7105" w:rsidP="007247D5">
      <w:pPr>
        <w:pStyle w:val="ListParagraph"/>
        <w:numPr>
          <w:ilvl w:val="0"/>
          <w:numId w:val="5"/>
        </w:numPr>
      </w:pPr>
      <w:r>
        <w:t>MMC per month x No. of Dwellings x 12 months.</w:t>
      </w:r>
    </w:p>
    <w:p w14:paraId="2169D1C4" w14:textId="77777777" w:rsidR="00F701F5" w:rsidRDefault="00F701F5" w:rsidP="001E7105">
      <w:pPr>
        <w:ind w:left="720" w:hanging="720"/>
        <w:rPr>
          <w:b/>
          <w:bCs/>
        </w:rPr>
      </w:pPr>
    </w:p>
    <w:p w14:paraId="43A9669D" w14:textId="00CBB19F" w:rsidR="007E313A" w:rsidRDefault="007E313A" w:rsidP="001E7105">
      <w:pPr>
        <w:ind w:left="720" w:hanging="720"/>
        <w:rPr>
          <w:b/>
          <w:bCs/>
        </w:rPr>
      </w:pPr>
      <w:r>
        <w:rPr>
          <w:b/>
          <w:bCs/>
        </w:rPr>
        <w:t>NOTE 2</w:t>
      </w:r>
    </w:p>
    <w:p w14:paraId="1BD80B7C" w14:textId="6A370BAC" w:rsidR="001E7105" w:rsidRDefault="001E7105" w:rsidP="007E313A">
      <w:r>
        <w:t>Deduct 5% minimum allowance for voids</w:t>
      </w:r>
      <w:r w:rsidR="002723E9">
        <w:t xml:space="preserve"> (vacant dwellings)</w:t>
      </w:r>
      <w:r>
        <w:t>, although a void allowance of up to 12.5% may be</w:t>
      </w:r>
      <w:r w:rsidR="007E313A">
        <w:t xml:space="preserve"> s</w:t>
      </w:r>
      <w:r>
        <w:t xml:space="preserve">uitable for small groups of almshouses. </w:t>
      </w:r>
    </w:p>
    <w:p w14:paraId="070C9EE2" w14:textId="77777777" w:rsidR="00F701F5" w:rsidRDefault="00F701F5" w:rsidP="00D22E3C">
      <w:pPr>
        <w:rPr>
          <w:b/>
          <w:bCs/>
        </w:rPr>
      </w:pPr>
    </w:p>
    <w:p w14:paraId="2E3DD6B6" w14:textId="51482462" w:rsidR="001E7105" w:rsidRPr="001E7105" w:rsidRDefault="00D22E3C" w:rsidP="00D22E3C">
      <w:pPr>
        <w:rPr>
          <w:b/>
          <w:bCs/>
        </w:rPr>
      </w:pPr>
      <w:r>
        <w:rPr>
          <w:b/>
          <w:bCs/>
        </w:rPr>
        <w:t xml:space="preserve">NOTE </w:t>
      </w:r>
      <w:r w:rsidR="000D11A5">
        <w:rPr>
          <w:b/>
          <w:bCs/>
        </w:rPr>
        <w:t>3</w:t>
      </w:r>
      <w:r w:rsidR="005A56DC">
        <w:rPr>
          <w:b/>
          <w:bCs/>
        </w:rPr>
        <w:t xml:space="preserve"> </w:t>
      </w:r>
      <w:r w:rsidR="00301CEF">
        <w:rPr>
          <w:b/>
          <w:bCs/>
        </w:rPr>
        <w:t>–</w:t>
      </w:r>
      <w:r w:rsidR="005A56DC">
        <w:rPr>
          <w:b/>
          <w:bCs/>
        </w:rPr>
        <w:t xml:space="preserve"> </w:t>
      </w:r>
      <w:r w:rsidR="00301CEF">
        <w:rPr>
          <w:b/>
          <w:bCs/>
        </w:rPr>
        <w:t>FOR NON</w:t>
      </w:r>
      <w:r w:rsidR="009273DF">
        <w:rPr>
          <w:b/>
          <w:bCs/>
        </w:rPr>
        <w:t>-REGISTERED PROVIDERS</w:t>
      </w:r>
      <w:r w:rsidR="001E7105" w:rsidRPr="001E7105">
        <w:rPr>
          <w:b/>
          <w:bCs/>
        </w:rPr>
        <w:t xml:space="preserve"> </w:t>
      </w:r>
    </w:p>
    <w:p w14:paraId="1562D890" w14:textId="79D53328" w:rsidR="001E7105" w:rsidRDefault="001E7105" w:rsidP="000D11A5">
      <w:r>
        <w:t>If the charity</w:t>
      </w:r>
      <w:r w:rsidR="001C6344">
        <w:t xml:space="preserve"> </w:t>
      </w:r>
      <w:r w:rsidR="001C6344" w:rsidRPr="00A83A94">
        <w:rPr>
          <w:b/>
          <w:bCs/>
          <w:u w:val="single"/>
        </w:rPr>
        <w:t>IS</w:t>
      </w:r>
      <w:r w:rsidRPr="00A83A94">
        <w:rPr>
          <w:b/>
          <w:bCs/>
          <w:u w:val="single"/>
        </w:rPr>
        <w:t xml:space="preserve"> NOT</w:t>
      </w:r>
      <w:r>
        <w:t xml:space="preserve"> a Registered Provider of Social Housing, the charity should obtain an Equivalent Fair Rent (EFR)* from the Valuation Office Agency (VOA) prior to setting </w:t>
      </w:r>
      <w:r w:rsidR="00F148F2">
        <w:t xml:space="preserve">the </w:t>
      </w:r>
      <w:r>
        <w:t xml:space="preserve">WMC. It is recommended that EFR is reviewed every </w:t>
      </w:r>
      <w:r w:rsidR="00B0485A">
        <w:t>three</w:t>
      </w:r>
      <w:r>
        <w:t xml:space="preserve"> years. There is a small charge for this service. The charity should note on the VOA application form that </w:t>
      </w:r>
      <w:r w:rsidR="00B0485A">
        <w:t>a</w:t>
      </w:r>
      <w:r>
        <w:t>lmshouse trustees accept responsibility for ALL internal/external redecorations and ALL repairs and maintenance.</w:t>
      </w:r>
    </w:p>
    <w:p w14:paraId="0C1ADAFE" w14:textId="63E70724" w:rsidR="001E7105" w:rsidRDefault="001E7105" w:rsidP="000D11A5">
      <w:r>
        <w:t>Where it is necessary to charge in excess of the VOA’s recommended figure</w:t>
      </w:r>
      <w:r w:rsidR="00AA409D">
        <w:t xml:space="preserve"> </w:t>
      </w:r>
      <w:r w:rsidR="00EC02F0">
        <w:t xml:space="preserve">(e.g. </w:t>
      </w:r>
      <w:r w:rsidR="00BD40A1">
        <w:t>e</w:t>
      </w:r>
      <w:r w:rsidR="0091766D">
        <w:t xml:space="preserve">xpenditure is in excess </w:t>
      </w:r>
      <w:r w:rsidR="007B7156">
        <w:t>of income</w:t>
      </w:r>
      <w:r w:rsidR="004E0423">
        <w:t>)</w:t>
      </w:r>
      <w:r>
        <w:t xml:space="preserve"> the charity should check the maximum sum eligible for payment by Local Housing Allowance to qualified applicants.</w:t>
      </w:r>
    </w:p>
    <w:p w14:paraId="7D4FEB1B" w14:textId="2616BAEC" w:rsidR="001E7105" w:rsidRDefault="00731B40" w:rsidP="000D11A5">
      <w:r>
        <w:t xml:space="preserve">The </w:t>
      </w:r>
      <w:r w:rsidR="001E7105">
        <w:t xml:space="preserve">VOA </w:t>
      </w:r>
      <w:r w:rsidR="009749B2">
        <w:t xml:space="preserve">application </w:t>
      </w:r>
      <w:r w:rsidR="001E7105">
        <w:t>form</w:t>
      </w:r>
      <w:r w:rsidR="00ED3DF8">
        <w:t xml:space="preserve"> can be downloaded </w:t>
      </w:r>
      <w:r w:rsidR="009749B2">
        <w:t xml:space="preserve">from our website: </w:t>
      </w:r>
      <w:hyperlink r:id="rId12" w:history="1">
        <w:r w:rsidR="009749B2" w:rsidRPr="0044019A">
          <w:rPr>
            <w:rStyle w:val="Hyperlink"/>
          </w:rPr>
          <w:t>https://www.almshouses.org/model-policies-and-templates/</w:t>
        </w:r>
      </w:hyperlink>
      <w:r w:rsidR="009749B2">
        <w:t xml:space="preserve"> </w:t>
      </w:r>
    </w:p>
    <w:p w14:paraId="7DFB6AC8" w14:textId="327602C8" w:rsidR="001E7105" w:rsidRDefault="00285E6B" w:rsidP="000D11A5">
      <w:r>
        <w:t>For more information on Loc</w:t>
      </w:r>
      <w:r w:rsidR="001E7105">
        <w:t>al Housing Allowance</w:t>
      </w:r>
      <w:r>
        <w:t xml:space="preserve"> go to</w:t>
      </w:r>
      <w:r w:rsidR="001E7105">
        <w:t xml:space="preserve">: </w:t>
      </w:r>
      <w:hyperlink r:id="rId13" w:history="1">
        <w:r w:rsidR="0032118D" w:rsidRPr="0032118D">
          <w:rPr>
            <w:rStyle w:val="Hyperlink"/>
          </w:rPr>
          <w:t>https://lha-direct.voa.gov.uk/search.aspx</w:t>
        </w:r>
      </w:hyperlink>
    </w:p>
    <w:p w14:paraId="313C8427" w14:textId="6C1ECFA1" w:rsidR="001E7105" w:rsidRDefault="000C43B2" w:rsidP="000D11A5">
      <w:r>
        <w:t>To c</w:t>
      </w:r>
      <w:r w:rsidR="001E7105">
        <w:t xml:space="preserve">heck whether </w:t>
      </w:r>
      <w:r>
        <w:t xml:space="preserve">the </w:t>
      </w:r>
      <w:r w:rsidR="001E7105">
        <w:t xml:space="preserve">charity is a Registered Provider of Social Housing </w:t>
      </w:r>
      <w:r w:rsidR="00D57B09">
        <w:t>visit:</w:t>
      </w:r>
      <w:r w:rsidR="001E7105">
        <w:t xml:space="preserve"> </w:t>
      </w:r>
      <w:hyperlink r:id="rId14" w:history="1">
        <w:r w:rsidR="0032118D" w:rsidRPr="0082077B">
          <w:rPr>
            <w:rStyle w:val="Hyperlink"/>
          </w:rPr>
          <w:t>https://www.gov.uk/government/publications/current-registered-providers-of-social-housing</w:t>
        </w:r>
      </w:hyperlink>
      <w:r w:rsidR="001E7105">
        <w:t>.</w:t>
      </w:r>
    </w:p>
    <w:p w14:paraId="222672C9" w14:textId="64ADB5F1" w:rsidR="00E877DF" w:rsidRPr="00B645A8" w:rsidRDefault="00E877DF" w:rsidP="000D11A5">
      <w:r w:rsidRPr="00B645A8">
        <w:t>* Equivalent Fair Rent is calculated by the Rent Officer based on the age and condition of similar properties in the area. It will be lower than full market rents.</w:t>
      </w:r>
    </w:p>
    <w:p w14:paraId="1EBD4A7A" w14:textId="77777777" w:rsidR="00F701F5" w:rsidRDefault="00F701F5" w:rsidP="00CD0EA0">
      <w:pPr>
        <w:rPr>
          <w:b/>
          <w:bCs/>
        </w:rPr>
      </w:pPr>
    </w:p>
    <w:p w14:paraId="79A68BA1" w14:textId="67DBF435" w:rsidR="001E7105" w:rsidRPr="001E7105" w:rsidRDefault="00CD0EA0" w:rsidP="00CD0EA0">
      <w:pPr>
        <w:rPr>
          <w:b/>
          <w:bCs/>
        </w:rPr>
      </w:pPr>
      <w:r>
        <w:rPr>
          <w:b/>
          <w:bCs/>
        </w:rPr>
        <w:t>NOTE 4</w:t>
      </w:r>
      <w:r w:rsidR="00FE0B49">
        <w:rPr>
          <w:b/>
          <w:bCs/>
        </w:rPr>
        <w:t xml:space="preserve"> </w:t>
      </w:r>
      <w:r w:rsidR="009273DF">
        <w:rPr>
          <w:b/>
          <w:bCs/>
        </w:rPr>
        <w:t>–</w:t>
      </w:r>
      <w:r w:rsidR="00FE0B49">
        <w:rPr>
          <w:b/>
          <w:bCs/>
        </w:rPr>
        <w:t xml:space="preserve"> </w:t>
      </w:r>
      <w:r w:rsidR="009273DF">
        <w:rPr>
          <w:b/>
          <w:bCs/>
        </w:rPr>
        <w:t>FOR REGISTERED PROVIDERS</w:t>
      </w:r>
    </w:p>
    <w:p w14:paraId="054799ED" w14:textId="00227196" w:rsidR="001E7105" w:rsidRDefault="001E7105" w:rsidP="00CD0EA0">
      <w:r>
        <w:t>If the charity</w:t>
      </w:r>
      <w:r w:rsidRPr="00A83A94">
        <w:rPr>
          <w:u w:val="single"/>
        </w:rPr>
        <w:t xml:space="preserve"> </w:t>
      </w:r>
      <w:r w:rsidRPr="00A83A94">
        <w:rPr>
          <w:b/>
          <w:bCs/>
          <w:u w:val="single"/>
        </w:rPr>
        <w:t>IS</w:t>
      </w:r>
      <w:r>
        <w:t xml:space="preserve"> a Registered Provider of Social Housing, the maximum amount </w:t>
      </w:r>
      <w:r w:rsidR="0032118D">
        <w:t xml:space="preserve">the </w:t>
      </w:r>
      <w:r>
        <w:t xml:space="preserve">WMC can increase by is usually determined by the Regulator of Social Housing based on the September Consumer Price Index </w:t>
      </w:r>
      <w:r w:rsidR="007C3BC9">
        <w:t xml:space="preserve">(CPI) </w:t>
      </w:r>
      <w:r>
        <w:t xml:space="preserve">figure + 1%. </w:t>
      </w:r>
    </w:p>
    <w:p w14:paraId="0C374A31" w14:textId="14D01CA5" w:rsidR="006E5C68" w:rsidRDefault="006E5C68" w:rsidP="00CD0EA0">
      <w:r w:rsidRPr="006E5C68">
        <w:t>The CPI figure for September 202</w:t>
      </w:r>
      <w:r w:rsidR="002B2B32">
        <w:t>5</w:t>
      </w:r>
      <w:r w:rsidR="00BC29B0">
        <w:t xml:space="preserve"> is</w:t>
      </w:r>
      <w:r w:rsidR="0041729D">
        <w:t xml:space="preserve"> 3.8% </w:t>
      </w:r>
      <w:r w:rsidRPr="006E5C68">
        <w:t>and hence the maximum WMC increase for the period 1 April 202</w:t>
      </w:r>
      <w:r w:rsidR="002B2B32">
        <w:t>6</w:t>
      </w:r>
      <w:r w:rsidRPr="006E5C68">
        <w:t xml:space="preserve"> to 31 March 202</w:t>
      </w:r>
      <w:r w:rsidR="002B2B32">
        <w:t>7</w:t>
      </w:r>
      <w:r w:rsidRPr="006E5C68">
        <w:t xml:space="preserve"> </w:t>
      </w:r>
      <w:r w:rsidR="006448A2">
        <w:t xml:space="preserve">is </w:t>
      </w:r>
      <w:r w:rsidR="0041729D">
        <w:t>4.8%.</w:t>
      </w:r>
    </w:p>
    <w:p w14:paraId="28B5D859" w14:textId="77777777" w:rsidR="00F701F5" w:rsidRDefault="00F701F5" w:rsidP="00CD0EA0"/>
    <w:p w14:paraId="360C709F" w14:textId="77777777" w:rsidR="00F701F5" w:rsidRDefault="00F701F5" w:rsidP="00CD0EA0"/>
    <w:p w14:paraId="6B9BC729" w14:textId="1649628D" w:rsidR="004E0423" w:rsidRDefault="005D2AFE" w:rsidP="00CD0EA0">
      <w:pPr>
        <w:rPr>
          <w:color w:val="FF0000"/>
        </w:rPr>
      </w:pPr>
      <w:r>
        <w:t xml:space="preserve">The CPI increase applies to the maintenance element </w:t>
      </w:r>
      <w:r w:rsidR="00353D60">
        <w:t>of the WMC</w:t>
      </w:r>
      <w:r w:rsidR="00335585">
        <w:t xml:space="preserve"> and not the services element</w:t>
      </w:r>
      <w:r w:rsidR="00353D60">
        <w:t xml:space="preserve">. If the charity </w:t>
      </w:r>
      <w:r w:rsidR="00DA56EC">
        <w:t>charges services to residents through the WMC (</w:t>
      </w:r>
      <w:r w:rsidR="00562465">
        <w:t>e.g.</w:t>
      </w:r>
      <w:r w:rsidR="00C410BE">
        <w:t xml:space="preserve"> </w:t>
      </w:r>
      <w:r w:rsidR="00DA56EC">
        <w:t xml:space="preserve">communal </w:t>
      </w:r>
      <w:r w:rsidR="00DC0B66">
        <w:t>gas or electricity supply</w:t>
      </w:r>
      <w:r w:rsidR="00C410BE">
        <w:t>)</w:t>
      </w:r>
      <w:r w:rsidR="00DC0B66">
        <w:t xml:space="preserve"> then this service element </w:t>
      </w:r>
      <w:r w:rsidR="00335585">
        <w:t>should be charged at cost to the resident.</w:t>
      </w:r>
      <w:r w:rsidR="00714C55">
        <w:rPr>
          <w:color w:val="FF0000"/>
        </w:rPr>
        <w:tab/>
      </w:r>
    </w:p>
    <w:p w14:paraId="5099EE41" w14:textId="77777777" w:rsidR="00307AAF" w:rsidRDefault="00307AAF" w:rsidP="00DC643B">
      <w:pPr>
        <w:rPr>
          <w:b/>
          <w:bCs/>
        </w:rPr>
      </w:pPr>
    </w:p>
    <w:p w14:paraId="6EA11BF0" w14:textId="5213CCEB" w:rsidR="00DC643B" w:rsidRPr="00436569" w:rsidRDefault="00CD0EA0" w:rsidP="00DC643B">
      <w:pPr>
        <w:rPr>
          <w:b/>
          <w:bCs/>
        </w:rPr>
      </w:pPr>
      <w:r>
        <w:rPr>
          <w:b/>
          <w:bCs/>
        </w:rPr>
        <w:t>NOTE 5</w:t>
      </w:r>
      <w:r w:rsidR="00D4155D">
        <w:rPr>
          <w:b/>
          <w:bCs/>
        </w:rPr>
        <w:t xml:space="preserve"> </w:t>
      </w:r>
      <w:r w:rsidR="003A2238">
        <w:rPr>
          <w:b/>
          <w:bCs/>
        </w:rPr>
        <w:t>–</w:t>
      </w:r>
      <w:r w:rsidR="00D4155D">
        <w:rPr>
          <w:b/>
          <w:bCs/>
        </w:rPr>
        <w:t xml:space="preserve"> </w:t>
      </w:r>
      <w:r w:rsidR="003A2238">
        <w:rPr>
          <w:b/>
          <w:bCs/>
        </w:rPr>
        <w:t>MAINTENANCE EXPENDITURE</w:t>
      </w:r>
    </w:p>
    <w:p w14:paraId="10C92DA5" w14:textId="3CF7A5EF" w:rsidR="00DC643B" w:rsidRPr="00D4155D" w:rsidRDefault="000E24C5" w:rsidP="00D4155D">
      <w:pPr>
        <w:pStyle w:val="ListParagraph"/>
        <w:numPr>
          <w:ilvl w:val="0"/>
          <w:numId w:val="5"/>
        </w:numPr>
        <w:rPr>
          <w:b/>
          <w:bCs/>
        </w:rPr>
      </w:pPr>
      <w:r w:rsidRPr="00D4155D">
        <w:rPr>
          <w:b/>
          <w:bCs/>
        </w:rPr>
        <w:t>General and r</w:t>
      </w:r>
      <w:r w:rsidR="00DC643B" w:rsidRPr="00D4155D">
        <w:rPr>
          <w:b/>
          <w:bCs/>
        </w:rPr>
        <w:t xml:space="preserve">outine </w:t>
      </w:r>
      <w:r w:rsidR="00012021" w:rsidRPr="00D4155D">
        <w:rPr>
          <w:b/>
          <w:bCs/>
        </w:rPr>
        <w:t>m</w:t>
      </w:r>
      <w:r w:rsidR="00DC643B" w:rsidRPr="00D4155D">
        <w:rPr>
          <w:b/>
          <w:bCs/>
        </w:rPr>
        <w:t>aintenance</w:t>
      </w:r>
    </w:p>
    <w:p w14:paraId="10E8CAE1" w14:textId="0BD5A0A6" w:rsidR="00DC643B" w:rsidRDefault="00DC643B" w:rsidP="00D4155D">
      <w:pPr>
        <w:pStyle w:val="ListParagraph"/>
      </w:pPr>
      <w:r w:rsidRPr="00436569">
        <w:t>This is a budget sum to cover day to day maintenance (</w:t>
      </w:r>
      <w:r w:rsidR="00562465">
        <w:t>e.g.</w:t>
      </w:r>
      <w:r w:rsidR="001517AE">
        <w:t xml:space="preserve"> </w:t>
      </w:r>
      <w:r w:rsidRPr="00436569">
        <w:t>electrical, plumbing, guttering).</w:t>
      </w:r>
    </w:p>
    <w:p w14:paraId="56409360" w14:textId="77777777" w:rsidR="00D4155D" w:rsidRDefault="00D4155D" w:rsidP="00D4155D">
      <w:pPr>
        <w:pStyle w:val="ListParagraph"/>
      </w:pPr>
    </w:p>
    <w:p w14:paraId="39197933" w14:textId="77777777" w:rsidR="00D4155D" w:rsidRPr="00D4155D" w:rsidRDefault="00DC643B" w:rsidP="0017016A">
      <w:pPr>
        <w:pStyle w:val="ListParagraph"/>
        <w:numPr>
          <w:ilvl w:val="0"/>
          <w:numId w:val="5"/>
        </w:numPr>
      </w:pPr>
      <w:r w:rsidRPr="00D4155D">
        <w:rPr>
          <w:b/>
          <w:bCs/>
        </w:rPr>
        <w:t xml:space="preserve">Extraordinary Repair Fund (ERF) </w:t>
      </w:r>
    </w:p>
    <w:p w14:paraId="3947F261" w14:textId="06507B5D" w:rsidR="00DC643B" w:rsidRDefault="00DC643B" w:rsidP="00D4155D">
      <w:pPr>
        <w:pStyle w:val="ListParagraph"/>
      </w:pPr>
      <w:r>
        <w:t xml:space="preserve">This is a reserve fund for future major expenditure </w:t>
      </w:r>
      <w:r w:rsidR="00010BD5" w:rsidRPr="00010BD5">
        <w:t>(e.g. roof or window repair or replacement)</w:t>
      </w:r>
      <w:r w:rsidR="00010BD5">
        <w:t xml:space="preserve"> </w:t>
      </w:r>
      <w:r>
        <w:t>to which transfers are made from the Income and Expenditure Account</w:t>
      </w:r>
      <w:r w:rsidR="00010BD5">
        <w:t>.</w:t>
      </w:r>
      <w:r w:rsidR="00EC02F0">
        <w:t xml:space="preserve"> </w:t>
      </w:r>
      <w:r>
        <w:t>The fund should be invested with the aim being to maximise capital growth including re-investment of income. It can be drawn upon to meet major items of repair.</w:t>
      </w:r>
    </w:p>
    <w:p w14:paraId="5DCDECAB" w14:textId="77777777" w:rsidR="00307AAF" w:rsidRDefault="00307AAF" w:rsidP="00D4155D">
      <w:pPr>
        <w:pStyle w:val="ListParagraph"/>
      </w:pPr>
    </w:p>
    <w:p w14:paraId="40350A72" w14:textId="0956E617" w:rsidR="006D21C9" w:rsidRPr="006D21C9" w:rsidRDefault="00DC643B" w:rsidP="00307AAF">
      <w:pPr>
        <w:pStyle w:val="ListParagraph"/>
        <w:numPr>
          <w:ilvl w:val="0"/>
          <w:numId w:val="6"/>
        </w:numPr>
      </w:pPr>
      <w:r w:rsidRPr="00307AAF">
        <w:rPr>
          <w:b/>
          <w:bCs/>
        </w:rPr>
        <w:t>Cyclical Maintenance Fund (CMF)</w:t>
      </w:r>
    </w:p>
    <w:p w14:paraId="2B76D772" w14:textId="053AEA24" w:rsidR="00DC643B" w:rsidRPr="001E7105" w:rsidRDefault="00DC643B" w:rsidP="006D21C9">
      <w:pPr>
        <w:pStyle w:val="ListParagraph"/>
      </w:pPr>
      <w:r>
        <w:t xml:space="preserve">This fund, to which transfers are made from the Income and Expenditure Account, is retained by the trustees to meet maintenance </w:t>
      </w:r>
      <w:r w:rsidR="00701C44">
        <w:t xml:space="preserve">costs that </w:t>
      </w:r>
      <w:r>
        <w:t xml:space="preserve">occur at </w:t>
      </w:r>
      <w:r w:rsidR="00CF0542">
        <w:t xml:space="preserve">infrequent but </w:t>
      </w:r>
      <w:r>
        <w:t>regular intervals e.g. internal (refurbishing kitchens and bathrooms)</w:t>
      </w:r>
      <w:r w:rsidR="00731627">
        <w:t xml:space="preserve"> and</w:t>
      </w:r>
      <w:r>
        <w:t xml:space="preserve"> external redecoration and the cost of </w:t>
      </w:r>
      <w:r w:rsidRPr="001E7105">
        <w:t>professional fees such as for Quinquennial Inspections.</w:t>
      </w:r>
    </w:p>
    <w:p w14:paraId="2ED1563A" w14:textId="63AA3B4E" w:rsidR="001E7105" w:rsidRDefault="001E7105" w:rsidP="00CD0EA0">
      <w:r>
        <w:t xml:space="preserve">Set out below are the Association’s recommended minimum amounts for </w:t>
      </w:r>
      <w:r w:rsidR="00A922BD">
        <w:t>202</w:t>
      </w:r>
      <w:r w:rsidR="00EF56CB">
        <w:t>6</w:t>
      </w:r>
      <w:r w:rsidR="00A922BD" w:rsidRPr="0032118D">
        <w:t xml:space="preserve"> </w:t>
      </w:r>
      <w:r w:rsidR="0032118D">
        <w:t xml:space="preserve">to </w:t>
      </w:r>
      <w:r w:rsidR="0032118D" w:rsidRPr="0032118D">
        <w:t xml:space="preserve">allow for expenditure on </w:t>
      </w:r>
      <w:r w:rsidR="00BE39FA">
        <w:t xml:space="preserve">general and </w:t>
      </w:r>
      <w:r w:rsidR="007944AA">
        <w:t>r</w:t>
      </w:r>
      <w:r w:rsidR="0032118D" w:rsidRPr="0032118D">
        <w:t xml:space="preserve">outine </w:t>
      </w:r>
      <w:r w:rsidR="007944AA">
        <w:t>m</w:t>
      </w:r>
      <w:r w:rsidR="0032118D" w:rsidRPr="0032118D">
        <w:t>aintenance during the year</w:t>
      </w:r>
      <w:r w:rsidR="0032118D">
        <w:t xml:space="preserve"> and </w:t>
      </w:r>
      <w:r>
        <w:t>for transfer to the ERF</w:t>
      </w:r>
      <w:r w:rsidR="0032118D">
        <w:t xml:space="preserve"> and </w:t>
      </w:r>
      <w:r w:rsidR="00DC643B">
        <w:t>C</w:t>
      </w:r>
      <w:r>
        <w:t>MF</w:t>
      </w:r>
      <w:r w:rsidR="0032118D">
        <w:t>.</w:t>
      </w:r>
      <w:r>
        <w:t xml:space="preserve"> </w:t>
      </w:r>
    </w:p>
    <w:p w14:paraId="2FE5BE32" w14:textId="66ACD835" w:rsidR="001E7105" w:rsidRDefault="001E7105" w:rsidP="00CD0EA0">
      <w:r>
        <w:t>These figures amount to an increase o</w:t>
      </w:r>
      <w:r w:rsidRPr="001C0C4E">
        <w:t>f</w:t>
      </w:r>
      <w:r w:rsidR="005A6DF8" w:rsidRPr="001C0C4E">
        <w:t xml:space="preserve"> </w:t>
      </w:r>
      <w:r w:rsidR="001C0C4E" w:rsidRPr="001C0C4E">
        <w:t>2.3%</w:t>
      </w:r>
      <w:r w:rsidR="00761AFF">
        <w:t xml:space="preserve"> compared to the 202</w:t>
      </w:r>
      <w:r w:rsidR="009747F6">
        <w:t>5</w:t>
      </w:r>
      <w:r w:rsidR="00761AFF">
        <w:t xml:space="preserve"> recommendation. This is </w:t>
      </w:r>
      <w:r>
        <w:t xml:space="preserve">based on expert advice from </w:t>
      </w:r>
      <w:r w:rsidR="00A8469D">
        <w:t>T</w:t>
      </w:r>
      <w:r>
        <w:t xml:space="preserve">he </w:t>
      </w:r>
      <w:r w:rsidR="00A8469D">
        <w:t xml:space="preserve">Almshouse </w:t>
      </w:r>
      <w:r>
        <w:t>Association’s Panel of Consultants. A higher level may be required, at the discretion of trustees, for some older or high maintenance buildings.</w:t>
      </w:r>
    </w:p>
    <w:p w14:paraId="1BBE56D0" w14:textId="70A4455D" w:rsidR="001E7105" w:rsidRPr="001E7105" w:rsidRDefault="004E5DE5" w:rsidP="00CD0EA0">
      <w:pPr>
        <w:rPr>
          <w:b/>
          <w:bCs/>
        </w:rPr>
      </w:pPr>
      <w:r>
        <w:rPr>
          <w:b/>
          <w:bCs/>
        </w:rPr>
        <w:t>202</w:t>
      </w:r>
      <w:r w:rsidR="009747F6">
        <w:rPr>
          <w:b/>
          <w:bCs/>
        </w:rPr>
        <w:t>6</w:t>
      </w:r>
      <w:r>
        <w:rPr>
          <w:b/>
          <w:bCs/>
        </w:rPr>
        <w:t xml:space="preserve"> r</w:t>
      </w:r>
      <w:r w:rsidR="001E7105" w:rsidRPr="001E7105">
        <w:rPr>
          <w:b/>
          <w:bCs/>
        </w:rPr>
        <w:t xml:space="preserve">ecommended </w:t>
      </w:r>
      <w:r w:rsidR="00883E28">
        <w:rPr>
          <w:b/>
          <w:bCs/>
        </w:rPr>
        <w:t>a</w:t>
      </w:r>
      <w:r w:rsidR="001E7105" w:rsidRPr="001E7105">
        <w:rPr>
          <w:b/>
          <w:bCs/>
        </w:rPr>
        <w:t xml:space="preserve">mount per </w:t>
      </w:r>
      <w:r w:rsidR="00883E28">
        <w:rPr>
          <w:b/>
          <w:bCs/>
        </w:rPr>
        <w:t>d</w:t>
      </w:r>
      <w:r w:rsidR="001E7105" w:rsidRPr="001E7105">
        <w:rPr>
          <w:b/>
          <w:bCs/>
        </w:rPr>
        <w:t>welling</w:t>
      </w:r>
    </w:p>
    <w:tbl>
      <w:tblPr>
        <w:tblStyle w:val="TableGrid"/>
        <w:tblW w:w="8941" w:type="dxa"/>
        <w:tblInd w:w="704" w:type="dxa"/>
        <w:tblLook w:val="04A0" w:firstRow="1" w:lastRow="0" w:firstColumn="1" w:lastColumn="0" w:noHBand="0" w:noVBand="1"/>
      </w:tblPr>
      <w:tblGrid>
        <w:gridCol w:w="5387"/>
        <w:gridCol w:w="1799"/>
        <w:gridCol w:w="1755"/>
      </w:tblGrid>
      <w:tr w:rsidR="001E7105" w:rsidRPr="001E7105" w14:paraId="15020C40" w14:textId="77777777" w:rsidTr="005F237B">
        <w:tc>
          <w:tcPr>
            <w:tcW w:w="5387" w:type="dxa"/>
          </w:tcPr>
          <w:p w14:paraId="05BA5EF7" w14:textId="74A6E164" w:rsidR="001E7105" w:rsidRPr="001E7105" w:rsidRDefault="001E7105" w:rsidP="001E7105">
            <w:pPr>
              <w:spacing w:after="160" w:line="259" w:lineRule="auto"/>
              <w:rPr>
                <w:b/>
              </w:rPr>
            </w:pPr>
            <w:r>
              <w:tab/>
            </w:r>
            <w:r w:rsidRPr="001E7105">
              <w:rPr>
                <w:b/>
              </w:rPr>
              <w:t xml:space="preserve">New </w:t>
            </w:r>
            <w:r w:rsidR="00883E28">
              <w:rPr>
                <w:b/>
              </w:rPr>
              <w:t>d</w:t>
            </w:r>
            <w:r w:rsidRPr="001E7105">
              <w:rPr>
                <w:b/>
              </w:rPr>
              <w:t>wellings – per unit</w:t>
            </w:r>
          </w:p>
        </w:tc>
        <w:tc>
          <w:tcPr>
            <w:tcW w:w="1799" w:type="dxa"/>
          </w:tcPr>
          <w:p w14:paraId="59D9CE4B" w14:textId="77777777" w:rsidR="001E7105" w:rsidRPr="001E7105" w:rsidRDefault="001E7105" w:rsidP="00072DE7">
            <w:pPr>
              <w:spacing w:after="160" w:line="259" w:lineRule="auto"/>
              <w:jc w:val="center"/>
              <w:rPr>
                <w:b/>
              </w:rPr>
            </w:pPr>
            <w:r w:rsidRPr="001E7105">
              <w:rPr>
                <w:b/>
              </w:rPr>
              <w:t>Greater London</w:t>
            </w:r>
          </w:p>
        </w:tc>
        <w:tc>
          <w:tcPr>
            <w:tcW w:w="1755" w:type="dxa"/>
          </w:tcPr>
          <w:p w14:paraId="13CC05AA" w14:textId="77777777" w:rsidR="001E7105" w:rsidRPr="001E7105" w:rsidRDefault="001E7105" w:rsidP="00072DE7">
            <w:pPr>
              <w:spacing w:after="160" w:line="259" w:lineRule="auto"/>
              <w:jc w:val="center"/>
              <w:rPr>
                <w:b/>
              </w:rPr>
            </w:pPr>
            <w:r w:rsidRPr="001E7105">
              <w:rPr>
                <w:b/>
              </w:rPr>
              <w:t>Rest of UK</w:t>
            </w:r>
          </w:p>
        </w:tc>
      </w:tr>
      <w:tr w:rsidR="00DC643B" w:rsidRPr="001E7105" w14:paraId="666F90D4" w14:textId="77777777" w:rsidTr="005F237B">
        <w:tc>
          <w:tcPr>
            <w:tcW w:w="5387" w:type="dxa"/>
          </w:tcPr>
          <w:p w14:paraId="0D54031A" w14:textId="15A7D116" w:rsidR="00DC643B" w:rsidRPr="001E7105" w:rsidDel="00D746DE" w:rsidRDefault="008A431F" w:rsidP="004E5DE5">
            <w:pPr>
              <w:spacing w:after="160" w:line="259" w:lineRule="auto"/>
            </w:pPr>
            <w:r>
              <w:t>General and r</w:t>
            </w:r>
            <w:r w:rsidR="00DC643B" w:rsidRPr="001E7105">
              <w:t xml:space="preserve">outine </w:t>
            </w:r>
            <w:r w:rsidR="00012021">
              <w:t>m</w:t>
            </w:r>
            <w:r w:rsidR="00DC643B" w:rsidRPr="001E7105">
              <w:t>aintenance</w:t>
            </w:r>
          </w:p>
        </w:tc>
        <w:tc>
          <w:tcPr>
            <w:tcW w:w="1799" w:type="dxa"/>
          </w:tcPr>
          <w:p w14:paraId="6B07C0B4" w14:textId="62E7AFB7" w:rsidR="00DC643B" w:rsidRPr="003A1D3E" w:rsidRDefault="008D5F70" w:rsidP="004E5DE5">
            <w:pPr>
              <w:spacing w:after="160" w:line="259" w:lineRule="auto"/>
              <w:jc w:val="center"/>
            </w:pPr>
            <w:r w:rsidRPr="003A1D3E">
              <w:t>£</w:t>
            </w:r>
            <w:r w:rsidR="001C0C4E" w:rsidRPr="003A1D3E">
              <w:t>718</w:t>
            </w:r>
          </w:p>
        </w:tc>
        <w:tc>
          <w:tcPr>
            <w:tcW w:w="1755" w:type="dxa"/>
          </w:tcPr>
          <w:p w14:paraId="2378A570" w14:textId="6B1987FF" w:rsidR="00DC643B" w:rsidRPr="003A1D3E" w:rsidRDefault="00DC643B" w:rsidP="004E5DE5">
            <w:pPr>
              <w:spacing w:after="160" w:line="259" w:lineRule="auto"/>
              <w:jc w:val="center"/>
            </w:pPr>
            <w:r w:rsidRPr="003A1D3E">
              <w:t>£</w:t>
            </w:r>
            <w:r w:rsidR="008E2C87" w:rsidRPr="003A1D3E">
              <w:t>6</w:t>
            </w:r>
            <w:r w:rsidR="003A1D3E" w:rsidRPr="003A1D3E">
              <w:t>84</w:t>
            </w:r>
          </w:p>
        </w:tc>
      </w:tr>
      <w:tr w:rsidR="001E7105" w:rsidRPr="001E7105" w14:paraId="713C53AF" w14:textId="77777777" w:rsidTr="005F237B">
        <w:tc>
          <w:tcPr>
            <w:tcW w:w="5387" w:type="dxa"/>
          </w:tcPr>
          <w:p w14:paraId="0A9C9D4A" w14:textId="0403430C" w:rsidR="001E7105" w:rsidRPr="001E7105" w:rsidRDefault="001E7105" w:rsidP="001E7105">
            <w:pPr>
              <w:spacing w:after="160" w:line="259" w:lineRule="auto"/>
            </w:pPr>
            <w:r w:rsidRPr="001E7105">
              <w:t>Extraordinary Repair Fund</w:t>
            </w:r>
            <w:r w:rsidR="00D746DE">
              <w:t xml:space="preserve"> (ERF</w:t>
            </w:r>
            <w:r w:rsidRPr="001E7105">
              <w:t>)</w:t>
            </w:r>
          </w:p>
        </w:tc>
        <w:tc>
          <w:tcPr>
            <w:tcW w:w="1799" w:type="dxa"/>
          </w:tcPr>
          <w:p w14:paraId="354ACF8A" w14:textId="0A0D938F" w:rsidR="001E7105" w:rsidRPr="003A1D3E" w:rsidRDefault="008D5F70" w:rsidP="00D67F4D">
            <w:pPr>
              <w:spacing w:after="160" w:line="259" w:lineRule="auto"/>
              <w:jc w:val="center"/>
            </w:pPr>
            <w:r w:rsidRPr="003A1D3E">
              <w:t>£</w:t>
            </w:r>
            <w:r w:rsidR="001C0C4E" w:rsidRPr="003A1D3E">
              <w:t>700</w:t>
            </w:r>
          </w:p>
        </w:tc>
        <w:tc>
          <w:tcPr>
            <w:tcW w:w="1755" w:type="dxa"/>
          </w:tcPr>
          <w:p w14:paraId="1208A8B1" w14:textId="312C4FF2" w:rsidR="001E7105" w:rsidRPr="003A1D3E" w:rsidRDefault="001E7105" w:rsidP="00D67F4D">
            <w:pPr>
              <w:spacing w:after="160" w:line="259" w:lineRule="auto"/>
              <w:jc w:val="center"/>
            </w:pPr>
            <w:r w:rsidRPr="003A1D3E">
              <w:t>£</w:t>
            </w:r>
            <w:r w:rsidR="008E2C87" w:rsidRPr="003A1D3E">
              <w:t>6</w:t>
            </w:r>
            <w:r w:rsidR="003A1D3E" w:rsidRPr="003A1D3E">
              <w:t>46</w:t>
            </w:r>
          </w:p>
        </w:tc>
      </w:tr>
      <w:tr w:rsidR="001E7105" w:rsidRPr="001E7105" w14:paraId="33CC8E3F" w14:textId="77777777" w:rsidTr="005F237B">
        <w:tc>
          <w:tcPr>
            <w:tcW w:w="5387" w:type="dxa"/>
          </w:tcPr>
          <w:p w14:paraId="3263420F" w14:textId="22548149" w:rsidR="001E7105" w:rsidRPr="001E7105" w:rsidRDefault="001E7105" w:rsidP="001E7105">
            <w:pPr>
              <w:spacing w:after="160" w:line="259" w:lineRule="auto"/>
            </w:pPr>
            <w:r w:rsidRPr="001E7105">
              <w:t>Cyclical Maintenance Fun</w:t>
            </w:r>
            <w:r>
              <w:t>d</w:t>
            </w:r>
            <w:r w:rsidR="00D746DE">
              <w:t xml:space="preserve"> (CMF</w:t>
            </w:r>
            <w:r w:rsidRPr="001E7105">
              <w:t>)</w:t>
            </w:r>
          </w:p>
        </w:tc>
        <w:tc>
          <w:tcPr>
            <w:tcW w:w="1799" w:type="dxa"/>
          </w:tcPr>
          <w:p w14:paraId="24E9F911" w14:textId="5B8777D0" w:rsidR="001E7105" w:rsidRPr="003A1D3E" w:rsidRDefault="008E2C87" w:rsidP="00D67F4D">
            <w:pPr>
              <w:spacing w:after="160" w:line="259" w:lineRule="auto"/>
              <w:jc w:val="center"/>
            </w:pPr>
            <w:r w:rsidRPr="003A1D3E">
              <w:t>£8</w:t>
            </w:r>
            <w:r w:rsidR="003A1D3E" w:rsidRPr="003A1D3E">
              <w:t>72</w:t>
            </w:r>
          </w:p>
        </w:tc>
        <w:tc>
          <w:tcPr>
            <w:tcW w:w="1755" w:type="dxa"/>
          </w:tcPr>
          <w:p w14:paraId="3F04BCD2" w14:textId="62124BF5" w:rsidR="001E7105" w:rsidRPr="003A1D3E" w:rsidRDefault="001E7105" w:rsidP="00D67F4D">
            <w:pPr>
              <w:spacing w:after="160" w:line="259" w:lineRule="auto"/>
              <w:jc w:val="center"/>
            </w:pPr>
            <w:r w:rsidRPr="003A1D3E">
              <w:t>£</w:t>
            </w:r>
            <w:r w:rsidR="008E2C87" w:rsidRPr="003A1D3E">
              <w:t>7</w:t>
            </w:r>
            <w:r w:rsidR="003A1D3E" w:rsidRPr="003A1D3E">
              <w:t>60</w:t>
            </w:r>
          </w:p>
        </w:tc>
      </w:tr>
      <w:tr w:rsidR="001E7105" w:rsidRPr="001E7105" w14:paraId="72B3A1E8" w14:textId="77777777" w:rsidTr="005F237B">
        <w:tc>
          <w:tcPr>
            <w:tcW w:w="5387" w:type="dxa"/>
            <w:tcBorders>
              <w:bottom w:val="double" w:sz="6" w:space="0" w:color="auto"/>
            </w:tcBorders>
          </w:tcPr>
          <w:p w14:paraId="7CA92D63" w14:textId="77777777" w:rsidR="001E7105" w:rsidRPr="001E7105" w:rsidRDefault="001E7105" w:rsidP="001E7105">
            <w:pPr>
              <w:spacing w:after="160" w:line="259" w:lineRule="auto"/>
              <w:rPr>
                <w:b/>
              </w:rPr>
            </w:pPr>
            <w:r w:rsidRPr="001E7105">
              <w:rPr>
                <w:b/>
              </w:rPr>
              <w:t>TOTAL</w:t>
            </w:r>
          </w:p>
        </w:tc>
        <w:tc>
          <w:tcPr>
            <w:tcW w:w="1799" w:type="dxa"/>
            <w:tcBorders>
              <w:bottom w:val="double" w:sz="6" w:space="0" w:color="auto"/>
            </w:tcBorders>
            <w:shd w:val="clear" w:color="auto" w:fill="D9D9D9" w:themeFill="background1" w:themeFillShade="D9"/>
          </w:tcPr>
          <w:p w14:paraId="013F28BA" w14:textId="291D47C3" w:rsidR="001E7105" w:rsidRPr="003A1D3E" w:rsidRDefault="001E7105" w:rsidP="00D67F4D">
            <w:pPr>
              <w:spacing w:after="160" w:line="259" w:lineRule="auto"/>
              <w:jc w:val="center"/>
              <w:rPr>
                <w:b/>
              </w:rPr>
            </w:pPr>
            <w:r w:rsidRPr="003A1D3E">
              <w:rPr>
                <w:b/>
              </w:rPr>
              <w:t>£</w:t>
            </w:r>
            <w:r w:rsidR="003A1D3E" w:rsidRPr="003A1D3E">
              <w:rPr>
                <w:b/>
              </w:rPr>
              <w:t>2,290</w:t>
            </w:r>
          </w:p>
        </w:tc>
        <w:tc>
          <w:tcPr>
            <w:tcW w:w="1755" w:type="dxa"/>
            <w:tcBorders>
              <w:bottom w:val="double" w:sz="6" w:space="0" w:color="auto"/>
            </w:tcBorders>
            <w:shd w:val="clear" w:color="auto" w:fill="D9D9D9" w:themeFill="background1" w:themeFillShade="D9"/>
          </w:tcPr>
          <w:p w14:paraId="6F0A217D" w14:textId="643DD1A3" w:rsidR="001E7105" w:rsidRPr="003A1D3E" w:rsidRDefault="001E7105" w:rsidP="00D67F4D">
            <w:pPr>
              <w:spacing w:after="160" w:line="259" w:lineRule="auto"/>
              <w:jc w:val="center"/>
              <w:rPr>
                <w:b/>
              </w:rPr>
            </w:pPr>
            <w:r w:rsidRPr="003A1D3E">
              <w:rPr>
                <w:b/>
              </w:rPr>
              <w:t>£</w:t>
            </w:r>
            <w:r w:rsidR="00D76BAD" w:rsidRPr="003A1D3E">
              <w:rPr>
                <w:b/>
              </w:rPr>
              <w:t>2,0</w:t>
            </w:r>
            <w:r w:rsidR="003A1D3E" w:rsidRPr="003A1D3E">
              <w:rPr>
                <w:b/>
              </w:rPr>
              <w:t>90</w:t>
            </w:r>
          </w:p>
        </w:tc>
      </w:tr>
    </w:tbl>
    <w:p w14:paraId="4B075A4F" w14:textId="77777777" w:rsidR="004E18D5" w:rsidRDefault="004E18D5" w:rsidP="001E7105"/>
    <w:tbl>
      <w:tblPr>
        <w:tblStyle w:val="TableGrid"/>
        <w:tblW w:w="8941" w:type="dxa"/>
        <w:tblInd w:w="704" w:type="dxa"/>
        <w:tblLook w:val="04A0" w:firstRow="1" w:lastRow="0" w:firstColumn="1" w:lastColumn="0" w:noHBand="0" w:noVBand="1"/>
      </w:tblPr>
      <w:tblGrid>
        <w:gridCol w:w="5387"/>
        <w:gridCol w:w="1799"/>
        <w:gridCol w:w="1755"/>
      </w:tblGrid>
      <w:tr w:rsidR="001E7105" w:rsidRPr="001E7105" w14:paraId="3EFD05BF" w14:textId="77777777" w:rsidTr="005F237B">
        <w:tc>
          <w:tcPr>
            <w:tcW w:w="5387" w:type="dxa"/>
          </w:tcPr>
          <w:p w14:paraId="4BE1C2D3" w14:textId="16C85FAA" w:rsidR="001E7105" w:rsidRPr="001E7105" w:rsidRDefault="001E7105" w:rsidP="001E7105">
            <w:pPr>
              <w:spacing w:after="160" w:line="259" w:lineRule="auto"/>
              <w:rPr>
                <w:b/>
              </w:rPr>
            </w:pPr>
            <w:r>
              <w:tab/>
            </w:r>
            <w:r w:rsidRPr="001E7105">
              <w:rPr>
                <w:b/>
              </w:rPr>
              <w:t>Dwellings over 20 years old – per unit</w:t>
            </w:r>
          </w:p>
        </w:tc>
        <w:tc>
          <w:tcPr>
            <w:tcW w:w="1799" w:type="dxa"/>
          </w:tcPr>
          <w:p w14:paraId="2EFBF963" w14:textId="77777777" w:rsidR="001E7105" w:rsidRPr="001E7105" w:rsidRDefault="001E7105" w:rsidP="00072DE7">
            <w:pPr>
              <w:spacing w:after="160" w:line="259" w:lineRule="auto"/>
              <w:jc w:val="center"/>
              <w:rPr>
                <w:b/>
              </w:rPr>
            </w:pPr>
            <w:r w:rsidRPr="001E7105">
              <w:rPr>
                <w:b/>
              </w:rPr>
              <w:t>Greater London</w:t>
            </w:r>
          </w:p>
        </w:tc>
        <w:tc>
          <w:tcPr>
            <w:tcW w:w="1755" w:type="dxa"/>
          </w:tcPr>
          <w:p w14:paraId="139B118D" w14:textId="77777777" w:rsidR="001E7105" w:rsidRPr="001E7105" w:rsidRDefault="001E7105" w:rsidP="00072DE7">
            <w:pPr>
              <w:spacing w:after="160" w:line="259" w:lineRule="auto"/>
              <w:jc w:val="center"/>
              <w:rPr>
                <w:b/>
              </w:rPr>
            </w:pPr>
            <w:r w:rsidRPr="001E7105">
              <w:rPr>
                <w:b/>
              </w:rPr>
              <w:t>Rest of UK</w:t>
            </w:r>
          </w:p>
        </w:tc>
      </w:tr>
      <w:tr w:rsidR="00DC643B" w:rsidRPr="001E7105" w14:paraId="3795DF12" w14:textId="77777777" w:rsidTr="005F237B">
        <w:tc>
          <w:tcPr>
            <w:tcW w:w="5387" w:type="dxa"/>
          </w:tcPr>
          <w:p w14:paraId="23865716" w14:textId="10E033F7" w:rsidR="00DC643B" w:rsidRPr="00B459E7" w:rsidDel="00D746DE" w:rsidRDefault="008A431F" w:rsidP="0065156E">
            <w:pPr>
              <w:spacing w:after="160" w:line="259" w:lineRule="auto"/>
            </w:pPr>
            <w:r w:rsidRPr="00B459E7">
              <w:t>General and r</w:t>
            </w:r>
            <w:r w:rsidR="00DC643B" w:rsidRPr="00B459E7">
              <w:t xml:space="preserve">outine </w:t>
            </w:r>
            <w:r w:rsidR="00012021" w:rsidRPr="00B459E7">
              <w:t>m</w:t>
            </w:r>
            <w:r w:rsidR="00DC643B" w:rsidRPr="00B459E7">
              <w:t>aintenance</w:t>
            </w:r>
          </w:p>
        </w:tc>
        <w:tc>
          <w:tcPr>
            <w:tcW w:w="1799" w:type="dxa"/>
          </w:tcPr>
          <w:p w14:paraId="73C7AC4C" w14:textId="155B18A7" w:rsidR="00DC643B" w:rsidRPr="00B459E7" w:rsidRDefault="00DC643B" w:rsidP="0065156E">
            <w:pPr>
              <w:spacing w:after="160" w:line="259" w:lineRule="auto"/>
              <w:jc w:val="center"/>
            </w:pPr>
            <w:r w:rsidRPr="00B459E7">
              <w:t>£</w:t>
            </w:r>
            <w:r w:rsidR="00B459E7" w:rsidRPr="00B459E7">
              <w:t>1,016</w:t>
            </w:r>
          </w:p>
        </w:tc>
        <w:tc>
          <w:tcPr>
            <w:tcW w:w="1755" w:type="dxa"/>
          </w:tcPr>
          <w:p w14:paraId="4E29E07C" w14:textId="50E4571A" w:rsidR="00DC643B" w:rsidRPr="00B459E7" w:rsidRDefault="00DC643B" w:rsidP="0065156E">
            <w:pPr>
              <w:spacing w:after="160" w:line="259" w:lineRule="auto"/>
              <w:jc w:val="center"/>
            </w:pPr>
            <w:r w:rsidRPr="00B459E7">
              <w:t>£</w:t>
            </w:r>
            <w:r w:rsidR="003D55EC" w:rsidRPr="00B459E7">
              <w:t>7</w:t>
            </w:r>
            <w:r w:rsidR="00B459E7" w:rsidRPr="00B459E7">
              <w:t>53</w:t>
            </w:r>
          </w:p>
        </w:tc>
      </w:tr>
      <w:tr w:rsidR="001E7105" w:rsidRPr="001E7105" w14:paraId="165F24C3" w14:textId="77777777" w:rsidTr="005F237B">
        <w:tc>
          <w:tcPr>
            <w:tcW w:w="5387" w:type="dxa"/>
          </w:tcPr>
          <w:p w14:paraId="0BD23AB8" w14:textId="7C0B8405" w:rsidR="001E7105" w:rsidRPr="00B459E7" w:rsidRDefault="001E7105" w:rsidP="001E7105">
            <w:pPr>
              <w:spacing w:after="160" w:line="259" w:lineRule="auto"/>
            </w:pPr>
            <w:r w:rsidRPr="00B459E7">
              <w:t>Extraordinary Repair Fund</w:t>
            </w:r>
            <w:r w:rsidR="00D746DE" w:rsidRPr="00B459E7">
              <w:t xml:space="preserve"> (ERF</w:t>
            </w:r>
            <w:r w:rsidRPr="00B459E7">
              <w:t>)</w:t>
            </w:r>
          </w:p>
        </w:tc>
        <w:tc>
          <w:tcPr>
            <w:tcW w:w="1799" w:type="dxa"/>
          </w:tcPr>
          <w:p w14:paraId="1B235F84" w14:textId="6CDCF37C" w:rsidR="001E7105" w:rsidRPr="00B459E7" w:rsidRDefault="001E7105" w:rsidP="00D67F4D">
            <w:pPr>
              <w:spacing w:after="160" w:line="259" w:lineRule="auto"/>
              <w:jc w:val="center"/>
            </w:pPr>
            <w:r w:rsidRPr="00B459E7">
              <w:t>£</w:t>
            </w:r>
            <w:r w:rsidR="0088568F" w:rsidRPr="00B459E7">
              <w:t>7</w:t>
            </w:r>
            <w:r w:rsidR="00B459E7" w:rsidRPr="00B459E7">
              <w:t>18</w:t>
            </w:r>
          </w:p>
        </w:tc>
        <w:tc>
          <w:tcPr>
            <w:tcW w:w="1755" w:type="dxa"/>
          </w:tcPr>
          <w:p w14:paraId="3714070C" w14:textId="7003497F" w:rsidR="001E7105" w:rsidRPr="00B459E7" w:rsidRDefault="001E7105" w:rsidP="00D67F4D">
            <w:pPr>
              <w:spacing w:after="160" w:line="259" w:lineRule="auto"/>
              <w:jc w:val="center"/>
            </w:pPr>
            <w:r w:rsidRPr="00B459E7">
              <w:t>£</w:t>
            </w:r>
            <w:r w:rsidR="002E77A9" w:rsidRPr="00B459E7">
              <w:t>6</w:t>
            </w:r>
            <w:r w:rsidR="00B459E7" w:rsidRPr="00B459E7">
              <w:t>67</w:t>
            </w:r>
          </w:p>
        </w:tc>
      </w:tr>
      <w:tr w:rsidR="001E7105" w:rsidRPr="001E7105" w14:paraId="6C6B5714" w14:textId="77777777" w:rsidTr="005F237B">
        <w:tc>
          <w:tcPr>
            <w:tcW w:w="5387" w:type="dxa"/>
          </w:tcPr>
          <w:p w14:paraId="5B1218AA" w14:textId="60D4A255" w:rsidR="001E7105" w:rsidRPr="00B459E7" w:rsidRDefault="001E7105" w:rsidP="001E7105">
            <w:pPr>
              <w:spacing w:after="160" w:line="259" w:lineRule="auto"/>
            </w:pPr>
            <w:r w:rsidRPr="00B459E7">
              <w:t>Cyclical Maintenance Fund</w:t>
            </w:r>
            <w:r w:rsidR="00D746DE" w:rsidRPr="00B459E7">
              <w:t xml:space="preserve"> (CMF</w:t>
            </w:r>
            <w:r w:rsidRPr="00B459E7">
              <w:t>)</w:t>
            </w:r>
          </w:p>
        </w:tc>
        <w:tc>
          <w:tcPr>
            <w:tcW w:w="1799" w:type="dxa"/>
          </w:tcPr>
          <w:p w14:paraId="60492B11" w14:textId="5F85ECAF" w:rsidR="001E7105" w:rsidRPr="00B459E7" w:rsidRDefault="001E7105" w:rsidP="00D67F4D">
            <w:pPr>
              <w:spacing w:after="160" w:line="259" w:lineRule="auto"/>
              <w:jc w:val="center"/>
            </w:pPr>
            <w:r w:rsidRPr="00B459E7">
              <w:t>£</w:t>
            </w:r>
            <w:r w:rsidR="00635A05" w:rsidRPr="00B459E7">
              <w:t>1,</w:t>
            </w:r>
            <w:r w:rsidR="0088568F" w:rsidRPr="00B459E7">
              <w:t>2</w:t>
            </w:r>
            <w:r w:rsidR="00B459E7" w:rsidRPr="00B459E7">
              <w:t>35</w:t>
            </w:r>
          </w:p>
        </w:tc>
        <w:tc>
          <w:tcPr>
            <w:tcW w:w="1755" w:type="dxa"/>
          </w:tcPr>
          <w:p w14:paraId="720607EF" w14:textId="6FFA93CD" w:rsidR="001E7105" w:rsidRPr="00B459E7" w:rsidRDefault="001E7105" w:rsidP="00D67F4D">
            <w:pPr>
              <w:spacing w:after="160" w:line="259" w:lineRule="auto"/>
              <w:jc w:val="center"/>
            </w:pPr>
            <w:r w:rsidRPr="00B459E7">
              <w:t>£</w:t>
            </w:r>
            <w:r w:rsidR="002E77A9" w:rsidRPr="00B459E7">
              <w:t>1,0</w:t>
            </w:r>
            <w:r w:rsidR="00B459E7" w:rsidRPr="00B459E7">
              <w:t>90</w:t>
            </w:r>
          </w:p>
        </w:tc>
      </w:tr>
      <w:tr w:rsidR="001E7105" w:rsidRPr="001E7105" w14:paraId="513BFE3A" w14:textId="77777777" w:rsidTr="005F237B">
        <w:tc>
          <w:tcPr>
            <w:tcW w:w="5387" w:type="dxa"/>
            <w:tcBorders>
              <w:bottom w:val="double" w:sz="4" w:space="0" w:color="auto"/>
            </w:tcBorders>
          </w:tcPr>
          <w:p w14:paraId="35ED9D20" w14:textId="77777777" w:rsidR="001E7105" w:rsidRPr="00B459E7" w:rsidRDefault="001E7105" w:rsidP="001E7105">
            <w:pPr>
              <w:spacing w:after="160" w:line="259" w:lineRule="auto"/>
              <w:rPr>
                <w:b/>
              </w:rPr>
            </w:pPr>
            <w:r w:rsidRPr="00B459E7">
              <w:rPr>
                <w:b/>
              </w:rPr>
              <w:t>TOTAL</w:t>
            </w:r>
          </w:p>
        </w:tc>
        <w:tc>
          <w:tcPr>
            <w:tcW w:w="1799" w:type="dxa"/>
            <w:tcBorders>
              <w:bottom w:val="double" w:sz="6" w:space="0" w:color="auto"/>
            </w:tcBorders>
            <w:shd w:val="clear" w:color="auto" w:fill="D9D9D9" w:themeFill="background1" w:themeFillShade="D9"/>
          </w:tcPr>
          <w:p w14:paraId="77B19536" w14:textId="6602F366" w:rsidR="001E7105" w:rsidRPr="00B459E7" w:rsidRDefault="001E7105" w:rsidP="00D67F4D">
            <w:pPr>
              <w:spacing w:after="160" w:line="259" w:lineRule="auto"/>
              <w:jc w:val="center"/>
              <w:rPr>
                <w:b/>
              </w:rPr>
            </w:pPr>
            <w:r w:rsidRPr="00B459E7">
              <w:rPr>
                <w:b/>
              </w:rPr>
              <w:t>£</w:t>
            </w:r>
            <w:r w:rsidR="00DF3A25" w:rsidRPr="00B459E7">
              <w:rPr>
                <w:b/>
              </w:rPr>
              <w:t>2,</w:t>
            </w:r>
            <w:r w:rsidR="0088568F" w:rsidRPr="00B459E7">
              <w:rPr>
                <w:b/>
              </w:rPr>
              <w:t>9</w:t>
            </w:r>
            <w:r w:rsidR="00B459E7" w:rsidRPr="00B459E7">
              <w:rPr>
                <w:b/>
              </w:rPr>
              <w:t>69</w:t>
            </w:r>
          </w:p>
        </w:tc>
        <w:tc>
          <w:tcPr>
            <w:tcW w:w="1755" w:type="dxa"/>
            <w:tcBorders>
              <w:bottom w:val="double" w:sz="6" w:space="0" w:color="auto"/>
            </w:tcBorders>
            <w:shd w:val="clear" w:color="auto" w:fill="D9D9D9" w:themeFill="background1" w:themeFillShade="D9"/>
          </w:tcPr>
          <w:p w14:paraId="72B6287B" w14:textId="613C56A7" w:rsidR="001E7105" w:rsidRPr="00B459E7" w:rsidRDefault="001E7105" w:rsidP="00D67F4D">
            <w:pPr>
              <w:spacing w:after="160" w:line="259" w:lineRule="auto"/>
              <w:jc w:val="center"/>
              <w:rPr>
                <w:b/>
              </w:rPr>
            </w:pPr>
            <w:r w:rsidRPr="00B459E7">
              <w:rPr>
                <w:b/>
              </w:rPr>
              <w:t>£</w:t>
            </w:r>
            <w:r w:rsidR="0083424D" w:rsidRPr="00B459E7">
              <w:rPr>
                <w:b/>
              </w:rPr>
              <w:t>2,</w:t>
            </w:r>
            <w:r w:rsidR="00B459E7" w:rsidRPr="00B459E7">
              <w:rPr>
                <w:b/>
              </w:rPr>
              <w:t>510</w:t>
            </w:r>
          </w:p>
        </w:tc>
      </w:tr>
    </w:tbl>
    <w:p w14:paraId="77F10112" w14:textId="49527379" w:rsidR="001E7105" w:rsidRDefault="001E7105" w:rsidP="001E7105"/>
    <w:p w14:paraId="0EB59C39" w14:textId="77777777" w:rsidR="00BB6BE8" w:rsidRDefault="00BB6BE8" w:rsidP="00A56644">
      <w:pPr>
        <w:rPr>
          <w:b/>
          <w:bCs/>
        </w:rPr>
      </w:pPr>
    </w:p>
    <w:p w14:paraId="74312AD8" w14:textId="1FA16BE9" w:rsidR="001E7105" w:rsidRPr="00146F35" w:rsidRDefault="001E7105" w:rsidP="00A56644">
      <w:pPr>
        <w:rPr>
          <w:b/>
          <w:bCs/>
        </w:rPr>
      </w:pPr>
      <w:r w:rsidRPr="00146F35">
        <w:rPr>
          <w:b/>
          <w:bCs/>
        </w:rPr>
        <w:t xml:space="preserve">Heating </w:t>
      </w:r>
      <w:r w:rsidR="00885FD8" w:rsidRPr="00146F35">
        <w:rPr>
          <w:b/>
          <w:bCs/>
        </w:rPr>
        <w:t>a</w:t>
      </w:r>
      <w:r w:rsidRPr="00146F35">
        <w:rPr>
          <w:b/>
          <w:bCs/>
        </w:rPr>
        <w:t xml:space="preserve">nd </w:t>
      </w:r>
      <w:r w:rsidR="00885FD8" w:rsidRPr="00146F35">
        <w:rPr>
          <w:b/>
          <w:bCs/>
        </w:rPr>
        <w:t>l</w:t>
      </w:r>
      <w:r w:rsidRPr="00146F35">
        <w:rPr>
          <w:b/>
          <w:bCs/>
        </w:rPr>
        <w:t xml:space="preserve">ighting </w:t>
      </w:r>
      <w:r w:rsidR="00885FD8" w:rsidRPr="00146F35">
        <w:rPr>
          <w:b/>
          <w:bCs/>
        </w:rPr>
        <w:t>c</w:t>
      </w:r>
      <w:r w:rsidRPr="00146F35">
        <w:rPr>
          <w:b/>
          <w:bCs/>
        </w:rPr>
        <w:t>harges</w:t>
      </w:r>
    </w:p>
    <w:p w14:paraId="215B5DD0" w14:textId="76A939EF" w:rsidR="000913C7" w:rsidRPr="00146F35" w:rsidRDefault="001E7105" w:rsidP="00A56644">
      <w:pPr>
        <w:rPr>
          <w:b/>
          <w:bCs/>
          <w:sz w:val="28"/>
          <w:szCs w:val="28"/>
        </w:rPr>
      </w:pPr>
      <w:r w:rsidRPr="00146F35">
        <w:t>Residents are responsible for their own utility bills</w:t>
      </w:r>
      <w:r w:rsidR="00DE5C42" w:rsidRPr="00146F35">
        <w:t xml:space="preserve">. </w:t>
      </w:r>
      <w:r w:rsidRPr="00146F35">
        <w:t>Where a communal boiler is in use the charity should divide the cost equally between the residents (</w:t>
      </w:r>
      <w:r w:rsidR="002D0ABE">
        <w:t>considering</w:t>
      </w:r>
      <w:r w:rsidRPr="00146F35">
        <w:t xml:space="preserve"> that single residents will use less than a couple)</w:t>
      </w:r>
      <w:r w:rsidR="00DE5C42" w:rsidRPr="00146F35">
        <w:t xml:space="preserve">. </w:t>
      </w:r>
    </w:p>
    <w:p w14:paraId="163973D0" w14:textId="0212A06F" w:rsidR="0074514C" w:rsidRDefault="0074514C">
      <w:pPr>
        <w:rPr>
          <w:b/>
          <w:bCs/>
          <w:sz w:val="28"/>
          <w:szCs w:val="28"/>
        </w:rPr>
      </w:pPr>
    </w:p>
    <w:p w14:paraId="4A06C893" w14:textId="0E05F94B" w:rsidR="001E7105" w:rsidRPr="001E7105" w:rsidRDefault="001E7105" w:rsidP="00A56644">
      <w:pPr>
        <w:rPr>
          <w:b/>
          <w:bCs/>
          <w:sz w:val="28"/>
          <w:szCs w:val="28"/>
        </w:rPr>
      </w:pPr>
      <w:r w:rsidRPr="001E7105">
        <w:rPr>
          <w:b/>
          <w:bCs/>
          <w:sz w:val="28"/>
          <w:szCs w:val="28"/>
        </w:rPr>
        <w:t xml:space="preserve">Additional </w:t>
      </w:r>
      <w:r w:rsidR="00F1418C">
        <w:rPr>
          <w:b/>
          <w:bCs/>
          <w:sz w:val="28"/>
          <w:szCs w:val="28"/>
        </w:rPr>
        <w:t>n</w:t>
      </w:r>
      <w:r w:rsidRPr="001E7105">
        <w:rPr>
          <w:b/>
          <w:bCs/>
          <w:sz w:val="28"/>
          <w:szCs w:val="28"/>
        </w:rPr>
        <w:t>otes</w:t>
      </w:r>
    </w:p>
    <w:p w14:paraId="0149880C" w14:textId="492AB1A1" w:rsidR="001E7105" w:rsidRDefault="001E7105" w:rsidP="00A56644">
      <w:r>
        <w:t>The charity should advise residents of any increased level of WMC at least one month before the date of commencement. The charity should explain to the resident and/or next of kin how and why any increase is calculated.</w:t>
      </w:r>
    </w:p>
    <w:p w14:paraId="7CF4E343" w14:textId="76555095" w:rsidR="001E7105" w:rsidRDefault="001E7105" w:rsidP="00A56644">
      <w:r>
        <w:t xml:space="preserve">Where Housing Benefit or </w:t>
      </w:r>
      <w:r w:rsidR="00C81CCE">
        <w:t>the h</w:t>
      </w:r>
      <w:r>
        <w:t xml:space="preserve">ousing element of Universal Credit is paid, residents should apply to the Local Authority for an increase in benefit or in the case of Universal Credit, the </w:t>
      </w:r>
      <w:proofErr w:type="spellStart"/>
      <w:r>
        <w:t>DWP</w:t>
      </w:r>
      <w:proofErr w:type="spellEnd"/>
      <w:r>
        <w:t xml:space="preserve">. </w:t>
      </w:r>
    </w:p>
    <w:p w14:paraId="59BF764E" w14:textId="602A0350" w:rsidR="001E7105" w:rsidRPr="00C81CCE" w:rsidRDefault="001E7105" w:rsidP="00A56644">
      <w:pPr>
        <w:rPr>
          <w:b/>
          <w:bCs/>
        </w:rPr>
      </w:pPr>
      <w:r w:rsidRPr="00C81CCE">
        <w:rPr>
          <w:b/>
          <w:bCs/>
        </w:rPr>
        <w:t>Note:</w:t>
      </w:r>
    </w:p>
    <w:p w14:paraId="212A622F" w14:textId="315C4F98" w:rsidR="001E7105" w:rsidRDefault="001E7105" w:rsidP="005660DE">
      <w:pPr>
        <w:pStyle w:val="ListParagraph"/>
        <w:numPr>
          <w:ilvl w:val="0"/>
          <w:numId w:val="4"/>
        </w:numPr>
      </w:pPr>
      <w:r>
        <w:t>The Charity Commission has agreed that the cost of water charges may be met from endowment income. The charity can certify to the Local Authority that water charges form no part of the WMC.</w:t>
      </w:r>
    </w:p>
    <w:p w14:paraId="12471EAD" w14:textId="77777777" w:rsidR="005660DE" w:rsidRDefault="005660DE" w:rsidP="005660DE">
      <w:pPr>
        <w:pStyle w:val="ListParagraph"/>
      </w:pPr>
    </w:p>
    <w:p w14:paraId="7205625D" w14:textId="7B8A0238" w:rsidR="001E7105" w:rsidRDefault="001E7105" w:rsidP="005660DE">
      <w:pPr>
        <w:pStyle w:val="ListParagraph"/>
        <w:numPr>
          <w:ilvl w:val="0"/>
          <w:numId w:val="4"/>
        </w:numPr>
      </w:pPr>
      <w:r>
        <w:t>Council Tax is an additional cost payable by individual almshouse residents. Generally, a person living alone is entitled to a Single Person Discount of 25%.</w:t>
      </w:r>
    </w:p>
    <w:p w14:paraId="0EA25C56" w14:textId="77777777" w:rsidR="001E7105" w:rsidRDefault="001E7105" w:rsidP="001E7105"/>
    <w:p w14:paraId="49FE8774" w14:textId="3C6795F3" w:rsidR="000674CC" w:rsidRDefault="001E7105" w:rsidP="00A56644">
      <w:pPr>
        <w:rPr>
          <w:b/>
          <w:bCs/>
        </w:rPr>
      </w:pPr>
      <w:r w:rsidRPr="000913C7">
        <w:rPr>
          <w:b/>
          <w:bCs/>
        </w:rPr>
        <w:t xml:space="preserve">If you would like further advice </w:t>
      </w:r>
      <w:r w:rsidR="00AA68CA">
        <w:rPr>
          <w:b/>
          <w:bCs/>
        </w:rPr>
        <w:t>on</w:t>
      </w:r>
      <w:r w:rsidRPr="000913C7">
        <w:rPr>
          <w:b/>
          <w:bCs/>
        </w:rPr>
        <w:t xml:space="preserve"> completing your outline budget, please do not hesitate to contact </w:t>
      </w:r>
      <w:r w:rsidR="000674CC">
        <w:rPr>
          <w:b/>
          <w:bCs/>
        </w:rPr>
        <w:t xml:space="preserve">the Finance Department at </w:t>
      </w:r>
      <w:r w:rsidRPr="000913C7">
        <w:rPr>
          <w:b/>
          <w:bCs/>
        </w:rPr>
        <w:t>The Almshouse Association on 01344 452 922</w:t>
      </w:r>
      <w:r w:rsidR="000674CC">
        <w:rPr>
          <w:b/>
          <w:bCs/>
        </w:rPr>
        <w:t xml:space="preserve"> or email </w:t>
      </w:r>
      <w:hyperlink r:id="rId15" w:history="1">
        <w:r w:rsidR="000674CC" w:rsidRPr="00E10EFF">
          <w:rPr>
            <w:rStyle w:val="Hyperlink"/>
            <w:b/>
            <w:bCs/>
          </w:rPr>
          <w:t>finance@almshouses.org</w:t>
        </w:r>
      </w:hyperlink>
      <w:r w:rsidR="000674CC">
        <w:rPr>
          <w:b/>
          <w:bCs/>
        </w:rPr>
        <w:t>.</w:t>
      </w:r>
    </w:p>
    <w:p w14:paraId="0DF56E25" w14:textId="04EC6BA2" w:rsidR="004D66F2" w:rsidRPr="004D66F2" w:rsidRDefault="004D66F2" w:rsidP="00A56644"/>
    <w:sectPr w:rsidR="004D66F2" w:rsidRPr="004D66F2" w:rsidSect="000B5C12">
      <w:headerReference w:type="default" r:id="rId16"/>
      <w:footerReference w:type="default" r:id="rId17"/>
      <w:headerReference w:type="first" r:id="rId18"/>
      <w:footerReference w:type="first" r:id="rId19"/>
      <w:pgSz w:w="11906" w:h="16838"/>
      <w:pgMar w:top="1276" w:right="851" w:bottom="993" w:left="851" w:header="426"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49BCA" w14:textId="77777777" w:rsidR="00EE1CC2" w:rsidRDefault="00EE1CC2" w:rsidP="00091F88">
      <w:pPr>
        <w:spacing w:after="0" w:line="240" w:lineRule="auto"/>
      </w:pPr>
      <w:r>
        <w:separator/>
      </w:r>
    </w:p>
  </w:endnote>
  <w:endnote w:type="continuationSeparator" w:id="0">
    <w:p w14:paraId="490EBC14" w14:textId="77777777" w:rsidR="00EE1CC2" w:rsidRDefault="00EE1CC2" w:rsidP="00091F88">
      <w:pPr>
        <w:spacing w:after="0" w:line="240" w:lineRule="auto"/>
      </w:pPr>
      <w:r>
        <w:continuationSeparator/>
      </w:r>
    </w:p>
  </w:endnote>
  <w:endnote w:type="continuationNotice" w:id="1">
    <w:p w14:paraId="4BA86B81" w14:textId="77777777" w:rsidR="00EE1CC2" w:rsidRDefault="00EE1C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859313"/>
      <w:docPartObj>
        <w:docPartGallery w:val="Page Numbers (Bottom of Page)"/>
        <w:docPartUnique/>
      </w:docPartObj>
    </w:sdtPr>
    <w:sdtContent>
      <w:sdt>
        <w:sdtPr>
          <w:id w:val="1313207659"/>
          <w:docPartObj>
            <w:docPartGallery w:val="Page Numbers (Top of Page)"/>
            <w:docPartUnique/>
          </w:docPartObj>
        </w:sdtPr>
        <w:sdtContent>
          <w:p w14:paraId="37FBFBB1" w14:textId="7B153772" w:rsidR="00031F7D" w:rsidRDefault="00031F7D" w:rsidP="00031F7D">
            <w:pPr>
              <w:pStyle w:val="Footer"/>
              <w:jc w:val="center"/>
            </w:pPr>
            <w:r w:rsidRPr="00031F7D">
              <w:rPr>
                <w:sz w:val="16"/>
                <w:szCs w:val="16"/>
              </w:rPr>
              <w:t xml:space="preserve">Page </w:t>
            </w:r>
            <w:r w:rsidRPr="00031F7D">
              <w:rPr>
                <w:b/>
                <w:bCs/>
                <w:sz w:val="16"/>
                <w:szCs w:val="16"/>
              </w:rPr>
              <w:fldChar w:fldCharType="begin"/>
            </w:r>
            <w:r w:rsidRPr="00031F7D">
              <w:rPr>
                <w:b/>
                <w:bCs/>
                <w:sz w:val="16"/>
                <w:szCs w:val="16"/>
              </w:rPr>
              <w:instrText xml:space="preserve"> PAGE </w:instrText>
            </w:r>
            <w:r w:rsidRPr="00031F7D">
              <w:rPr>
                <w:b/>
                <w:bCs/>
                <w:sz w:val="16"/>
                <w:szCs w:val="16"/>
              </w:rPr>
              <w:fldChar w:fldCharType="separate"/>
            </w:r>
            <w:r w:rsidRPr="00031F7D">
              <w:rPr>
                <w:b/>
                <w:bCs/>
                <w:noProof/>
                <w:sz w:val="16"/>
                <w:szCs w:val="16"/>
              </w:rPr>
              <w:t>2</w:t>
            </w:r>
            <w:r w:rsidRPr="00031F7D">
              <w:rPr>
                <w:b/>
                <w:bCs/>
                <w:sz w:val="16"/>
                <w:szCs w:val="16"/>
              </w:rPr>
              <w:fldChar w:fldCharType="end"/>
            </w:r>
            <w:r w:rsidRPr="00031F7D">
              <w:rPr>
                <w:sz w:val="16"/>
                <w:szCs w:val="16"/>
              </w:rPr>
              <w:t xml:space="preserve"> of </w:t>
            </w:r>
            <w:r w:rsidRPr="00031F7D">
              <w:rPr>
                <w:b/>
                <w:bCs/>
                <w:sz w:val="16"/>
                <w:szCs w:val="16"/>
              </w:rPr>
              <w:fldChar w:fldCharType="begin"/>
            </w:r>
            <w:r w:rsidRPr="00031F7D">
              <w:rPr>
                <w:b/>
                <w:bCs/>
                <w:sz w:val="16"/>
                <w:szCs w:val="16"/>
              </w:rPr>
              <w:instrText xml:space="preserve"> NUMPAGES  </w:instrText>
            </w:r>
            <w:r w:rsidRPr="00031F7D">
              <w:rPr>
                <w:b/>
                <w:bCs/>
                <w:sz w:val="16"/>
                <w:szCs w:val="16"/>
              </w:rPr>
              <w:fldChar w:fldCharType="separate"/>
            </w:r>
            <w:r w:rsidRPr="00031F7D">
              <w:rPr>
                <w:b/>
                <w:bCs/>
                <w:noProof/>
                <w:sz w:val="16"/>
                <w:szCs w:val="16"/>
              </w:rPr>
              <w:t>2</w:t>
            </w:r>
            <w:r w:rsidRPr="00031F7D">
              <w:rPr>
                <w:b/>
                <w:bCs/>
                <w:sz w:val="16"/>
                <w:szCs w:val="16"/>
              </w:rPr>
              <w:fldChar w:fldCharType="end"/>
            </w:r>
          </w:p>
        </w:sdtContent>
      </w:sdt>
    </w:sdtContent>
  </w:sdt>
  <w:p w14:paraId="5528E690" w14:textId="1CD0A79E" w:rsidR="00031F7D" w:rsidRPr="00BB1F07" w:rsidRDefault="00C53848" w:rsidP="00522765">
    <w:pPr>
      <w:pStyle w:val="Footer"/>
      <w:tabs>
        <w:tab w:val="clear" w:pos="9026"/>
        <w:tab w:val="right" w:pos="10204"/>
      </w:tabs>
      <w:rPr>
        <w:sz w:val="16"/>
        <w:szCs w:val="16"/>
      </w:rPr>
    </w:pPr>
    <w:r w:rsidRPr="00C53848">
      <w:rPr>
        <w:sz w:val="16"/>
        <w:szCs w:val="16"/>
      </w:rPr>
      <w:t>V</w:t>
    </w:r>
    <w:r w:rsidR="0041729D">
      <w:rPr>
        <w:sz w:val="16"/>
        <w:szCs w:val="16"/>
      </w:rPr>
      <w:t>1</w:t>
    </w:r>
    <w:r w:rsidRPr="00C53848">
      <w:rPr>
        <w:sz w:val="16"/>
        <w:szCs w:val="16"/>
      </w:rPr>
      <w:tab/>
    </w:r>
    <w:r w:rsidRPr="00C53848">
      <w:rPr>
        <w:sz w:val="16"/>
        <w:szCs w:val="16"/>
      </w:rPr>
      <w:tab/>
    </w:r>
    <w:r w:rsidR="00A932F0" w:rsidRPr="00BB1F07">
      <w:rPr>
        <w:sz w:val="16"/>
        <w:szCs w:val="16"/>
      </w:rPr>
      <w:t>Oct 202</w:t>
    </w:r>
    <w:r w:rsidR="00D22E3C" w:rsidRPr="00BB1F07">
      <w:rPr>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74770338"/>
      <w:docPartObj>
        <w:docPartGallery w:val="Page Numbers (Bottom of Page)"/>
        <w:docPartUnique/>
      </w:docPartObj>
    </w:sdtPr>
    <w:sdtContent>
      <w:sdt>
        <w:sdtPr>
          <w:rPr>
            <w:sz w:val="16"/>
            <w:szCs w:val="16"/>
          </w:rPr>
          <w:id w:val="-1705238520"/>
          <w:docPartObj>
            <w:docPartGallery w:val="Page Numbers (Top of Page)"/>
            <w:docPartUnique/>
          </w:docPartObj>
        </w:sdtPr>
        <w:sdtContent>
          <w:p w14:paraId="02CF1B3A" w14:textId="25A8C7D8" w:rsidR="00031F7D" w:rsidRPr="00031F7D" w:rsidRDefault="00031F7D" w:rsidP="00031F7D">
            <w:pPr>
              <w:pStyle w:val="Footer"/>
              <w:jc w:val="center"/>
              <w:rPr>
                <w:sz w:val="16"/>
                <w:szCs w:val="16"/>
              </w:rPr>
            </w:pPr>
            <w:r w:rsidRPr="00031F7D">
              <w:rPr>
                <w:sz w:val="16"/>
                <w:szCs w:val="16"/>
              </w:rPr>
              <w:t xml:space="preserve">Page </w:t>
            </w:r>
            <w:r w:rsidRPr="00031F7D">
              <w:rPr>
                <w:b/>
                <w:bCs/>
                <w:sz w:val="16"/>
                <w:szCs w:val="16"/>
              </w:rPr>
              <w:fldChar w:fldCharType="begin"/>
            </w:r>
            <w:r w:rsidRPr="00031F7D">
              <w:rPr>
                <w:b/>
                <w:bCs/>
                <w:sz w:val="16"/>
                <w:szCs w:val="16"/>
              </w:rPr>
              <w:instrText xml:space="preserve"> PAGE </w:instrText>
            </w:r>
            <w:r w:rsidRPr="00031F7D">
              <w:rPr>
                <w:b/>
                <w:bCs/>
                <w:sz w:val="16"/>
                <w:szCs w:val="16"/>
              </w:rPr>
              <w:fldChar w:fldCharType="separate"/>
            </w:r>
            <w:r w:rsidRPr="00031F7D">
              <w:rPr>
                <w:b/>
                <w:bCs/>
                <w:noProof/>
                <w:sz w:val="16"/>
                <w:szCs w:val="16"/>
              </w:rPr>
              <w:t>2</w:t>
            </w:r>
            <w:r w:rsidRPr="00031F7D">
              <w:rPr>
                <w:b/>
                <w:bCs/>
                <w:sz w:val="16"/>
                <w:szCs w:val="16"/>
              </w:rPr>
              <w:fldChar w:fldCharType="end"/>
            </w:r>
            <w:r w:rsidRPr="00031F7D">
              <w:rPr>
                <w:sz w:val="16"/>
                <w:szCs w:val="16"/>
              </w:rPr>
              <w:t xml:space="preserve"> of </w:t>
            </w:r>
            <w:r w:rsidRPr="00031F7D">
              <w:rPr>
                <w:b/>
                <w:bCs/>
                <w:sz w:val="16"/>
                <w:szCs w:val="16"/>
              </w:rPr>
              <w:fldChar w:fldCharType="begin"/>
            </w:r>
            <w:r w:rsidRPr="00031F7D">
              <w:rPr>
                <w:b/>
                <w:bCs/>
                <w:sz w:val="16"/>
                <w:szCs w:val="16"/>
              </w:rPr>
              <w:instrText xml:space="preserve"> NUMPAGES  </w:instrText>
            </w:r>
            <w:r w:rsidRPr="00031F7D">
              <w:rPr>
                <w:b/>
                <w:bCs/>
                <w:sz w:val="16"/>
                <w:szCs w:val="16"/>
              </w:rPr>
              <w:fldChar w:fldCharType="separate"/>
            </w:r>
            <w:r w:rsidRPr="00031F7D">
              <w:rPr>
                <w:b/>
                <w:bCs/>
                <w:noProof/>
                <w:sz w:val="16"/>
                <w:szCs w:val="16"/>
              </w:rPr>
              <w:t>2</w:t>
            </w:r>
            <w:r w:rsidRPr="00031F7D">
              <w:rPr>
                <w:b/>
                <w:bCs/>
                <w:sz w:val="16"/>
                <w:szCs w:val="16"/>
              </w:rPr>
              <w:fldChar w:fldCharType="end"/>
            </w:r>
          </w:p>
        </w:sdtContent>
      </w:sdt>
    </w:sdtContent>
  </w:sdt>
  <w:p w14:paraId="43FDACA8" w14:textId="2213FBCF" w:rsidR="000913C7" w:rsidRDefault="005F1BB3" w:rsidP="005F1BB3">
    <w:pPr>
      <w:pStyle w:val="Footer"/>
      <w:tabs>
        <w:tab w:val="clear" w:pos="4513"/>
        <w:tab w:val="clear" w:pos="9026"/>
        <w:tab w:val="left" w:pos="8340"/>
      </w:tabs>
    </w:pPr>
    <w:r>
      <w:tab/>
      <w:t>v.1 7 Nov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0858" w14:textId="77777777" w:rsidR="00EE1CC2" w:rsidRDefault="00EE1CC2" w:rsidP="00091F88">
      <w:pPr>
        <w:spacing w:after="0" w:line="240" w:lineRule="auto"/>
      </w:pPr>
      <w:r>
        <w:separator/>
      </w:r>
    </w:p>
  </w:footnote>
  <w:footnote w:type="continuationSeparator" w:id="0">
    <w:p w14:paraId="6ECBDCFA" w14:textId="77777777" w:rsidR="00EE1CC2" w:rsidRDefault="00EE1CC2" w:rsidP="00091F88">
      <w:pPr>
        <w:spacing w:after="0" w:line="240" w:lineRule="auto"/>
      </w:pPr>
      <w:r>
        <w:continuationSeparator/>
      </w:r>
    </w:p>
  </w:footnote>
  <w:footnote w:type="continuationNotice" w:id="1">
    <w:p w14:paraId="19D6F98D" w14:textId="77777777" w:rsidR="00EE1CC2" w:rsidRDefault="00EE1C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06AD" w14:textId="01D00DF5" w:rsidR="005F1BB3" w:rsidRDefault="005F1BB3">
    <w:pPr>
      <w:pStyle w:val="Header"/>
    </w:pPr>
    <w:r>
      <w:rPr>
        <w:noProof/>
      </w:rPr>
      <w:drawing>
        <wp:inline distT="0" distB="0" distL="0" distR="0" wp14:anchorId="7FC76750" wp14:editId="20EEBCDC">
          <wp:extent cx="389890" cy="389890"/>
          <wp:effectExtent l="0" t="0" r="0" b="0"/>
          <wp:docPr id="1909285797" name="Picture 1909285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DBB9" w14:textId="53741032" w:rsidR="00091F88" w:rsidRDefault="005F1BB3" w:rsidP="005F1BB3">
    <w:pPr>
      <w:pStyle w:val="Header"/>
    </w:pPr>
    <w:r>
      <w:rPr>
        <w:noProof/>
      </w:rPr>
      <w:drawing>
        <wp:inline distT="0" distB="0" distL="0" distR="0" wp14:anchorId="269E3B56" wp14:editId="0F1FA83A">
          <wp:extent cx="390525" cy="390525"/>
          <wp:effectExtent l="0" t="0" r="9525" b="9525"/>
          <wp:docPr id="309667545" name="Picture 309667545" descr="A white letter on a gray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617173" name="Picture 1" descr="A white letter on a gray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0568" cy="3905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3DAB"/>
    <w:multiLevelType w:val="hybridMultilevel"/>
    <w:tmpl w:val="F7A291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F1091"/>
    <w:multiLevelType w:val="hybridMultilevel"/>
    <w:tmpl w:val="9A762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4C336F"/>
    <w:multiLevelType w:val="hybridMultilevel"/>
    <w:tmpl w:val="9816E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2C0F2F"/>
    <w:multiLevelType w:val="hybridMultilevel"/>
    <w:tmpl w:val="410E25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A13B8A"/>
    <w:multiLevelType w:val="hybridMultilevel"/>
    <w:tmpl w:val="89BED8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7B1D42"/>
    <w:multiLevelType w:val="hybridMultilevel"/>
    <w:tmpl w:val="9160B8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2677181">
    <w:abstractNumId w:val="2"/>
  </w:num>
  <w:num w:numId="2" w16cid:durableId="26562605">
    <w:abstractNumId w:val="1"/>
  </w:num>
  <w:num w:numId="3" w16cid:durableId="1112940265">
    <w:abstractNumId w:val="0"/>
  </w:num>
  <w:num w:numId="4" w16cid:durableId="1627538388">
    <w:abstractNumId w:val="4"/>
  </w:num>
  <w:num w:numId="5" w16cid:durableId="1181437078">
    <w:abstractNumId w:val="5"/>
  </w:num>
  <w:num w:numId="6" w16cid:durableId="205676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F2"/>
    <w:rsid w:val="00007E40"/>
    <w:rsid w:val="00010BD5"/>
    <w:rsid w:val="00012021"/>
    <w:rsid w:val="000120CB"/>
    <w:rsid w:val="0001397F"/>
    <w:rsid w:val="000313C1"/>
    <w:rsid w:val="00031BA4"/>
    <w:rsid w:val="00031F7D"/>
    <w:rsid w:val="0003367A"/>
    <w:rsid w:val="00045B29"/>
    <w:rsid w:val="00057621"/>
    <w:rsid w:val="000608C9"/>
    <w:rsid w:val="000674CC"/>
    <w:rsid w:val="00072DE7"/>
    <w:rsid w:val="000769D4"/>
    <w:rsid w:val="000825DA"/>
    <w:rsid w:val="000841E4"/>
    <w:rsid w:val="00085B57"/>
    <w:rsid w:val="000913C7"/>
    <w:rsid w:val="00091F88"/>
    <w:rsid w:val="00094505"/>
    <w:rsid w:val="000A4305"/>
    <w:rsid w:val="000B2C9B"/>
    <w:rsid w:val="000B4200"/>
    <w:rsid w:val="000B5C12"/>
    <w:rsid w:val="000B5FD2"/>
    <w:rsid w:val="000C43B2"/>
    <w:rsid w:val="000D11A5"/>
    <w:rsid w:val="000E06F3"/>
    <w:rsid w:val="000E24C5"/>
    <w:rsid w:val="000F0921"/>
    <w:rsid w:val="00131D77"/>
    <w:rsid w:val="00137711"/>
    <w:rsid w:val="00146F35"/>
    <w:rsid w:val="001517AE"/>
    <w:rsid w:val="00153B07"/>
    <w:rsid w:val="00157270"/>
    <w:rsid w:val="0016337E"/>
    <w:rsid w:val="00183F60"/>
    <w:rsid w:val="00190975"/>
    <w:rsid w:val="001A5430"/>
    <w:rsid w:val="001C0C4E"/>
    <w:rsid w:val="001C6344"/>
    <w:rsid w:val="001D1D32"/>
    <w:rsid w:val="001D30E2"/>
    <w:rsid w:val="001E4425"/>
    <w:rsid w:val="001E4CAB"/>
    <w:rsid w:val="001E7105"/>
    <w:rsid w:val="001F28BF"/>
    <w:rsid w:val="001F46C8"/>
    <w:rsid w:val="001F70FC"/>
    <w:rsid w:val="002052EE"/>
    <w:rsid w:val="0021122D"/>
    <w:rsid w:val="00211D32"/>
    <w:rsid w:val="00212322"/>
    <w:rsid w:val="00240404"/>
    <w:rsid w:val="002422CE"/>
    <w:rsid w:val="00251EDE"/>
    <w:rsid w:val="002723E9"/>
    <w:rsid w:val="002803AF"/>
    <w:rsid w:val="00285E6B"/>
    <w:rsid w:val="002A2967"/>
    <w:rsid w:val="002A5A2D"/>
    <w:rsid w:val="002A5F3E"/>
    <w:rsid w:val="002B0328"/>
    <w:rsid w:val="002B2348"/>
    <w:rsid w:val="002B2B32"/>
    <w:rsid w:val="002C5E7E"/>
    <w:rsid w:val="002C7B2A"/>
    <w:rsid w:val="002D0ABE"/>
    <w:rsid w:val="002D2D7A"/>
    <w:rsid w:val="002E0D5A"/>
    <w:rsid w:val="002E71BD"/>
    <w:rsid w:val="002E77A9"/>
    <w:rsid w:val="002F4747"/>
    <w:rsid w:val="00301CEF"/>
    <w:rsid w:val="00304F3B"/>
    <w:rsid w:val="00307AAF"/>
    <w:rsid w:val="003178A5"/>
    <w:rsid w:val="0032118D"/>
    <w:rsid w:val="003216EE"/>
    <w:rsid w:val="00335585"/>
    <w:rsid w:val="003359F3"/>
    <w:rsid w:val="003375F1"/>
    <w:rsid w:val="00337A08"/>
    <w:rsid w:val="00341418"/>
    <w:rsid w:val="00346085"/>
    <w:rsid w:val="0034703F"/>
    <w:rsid w:val="00353D60"/>
    <w:rsid w:val="003636B2"/>
    <w:rsid w:val="0036570F"/>
    <w:rsid w:val="00372F87"/>
    <w:rsid w:val="00373446"/>
    <w:rsid w:val="00373A9E"/>
    <w:rsid w:val="00381D3D"/>
    <w:rsid w:val="00382D79"/>
    <w:rsid w:val="003847D1"/>
    <w:rsid w:val="00392A67"/>
    <w:rsid w:val="00394D93"/>
    <w:rsid w:val="00395CE1"/>
    <w:rsid w:val="003A035F"/>
    <w:rsid w:val="003A1D3E"/>
    <w:rsid w:val="003A2238"/>
    <w:rsid w:val="003B1540"/>
    <w:rsid w:val="003B36E5"/>
    <w:rsid w:val="003C5CF4"/>
    <w:rsid w:val="003C6D53"/>
    <w:rsid w:val="003D55EC"/>
    <w:rsid w:val="003E5DD6"/>
    <w:rsid w:val="003F1808"/>
    <w:rsid w:val="003F3FD3"/>
    <w:rsid w:val="003F6D2A"/>
    <w:rsid w:val="0040278F"/>
    <w:rsid w:val="00404F9C"/>
    <w:rsid w:val="00410B8F"/>
    <w:rsid w:val="00416911"/>
    <w:rsid w:val="0041729D"/>
    <w:rsid w:val="004308F3"/>
    <w:rsid w:val="004364B2"/>
    <w:rsid w:val="00436569"/>
    <w:rsid w:val="00436FFE"/>
    <w:rsid w:val="00461A74"/>
    <w:rsid w:val="00470847"/>
    <w:rsid w:val="00483A76"/>
    <w:rsid w:val="004A055D"/>
    <w:rsid w:val="004B4FDC"/>
    <w:rsid w:val="004D5C2B"/>
    <w:rsid w:val="004D66F2"/>
    <w:rsid w:val="004D6DF8"/>
    <w:rsid w:val="004E0423"/>
    <w:rsid w:val="004E18D5"/>
    <w:rsid w:val="004E24CD"/>
    <w:rsid w:val="004E5DE5"/>
    <w:rsid w:val="0051498E"/>
    <w:rsid w:val="00522765"/>
    <w:rsid w:val="00527173"/>
    <w:rsid w:val="00544FC5"/>
    <w:rsid w:val="00547BBC"/>
    <w:rsid w:val="005559E9"/>
    <w:rsid w:val="00556D78"/>
    <w:rsid w:val="00562465"/>
    <w:rsid w:val="00563375"/>
    <w:rsid w:val="00564C61"/>
    <w:rsid w:val="005660DE"/>
    <w:rsid w:val="00577D9F"/>
    <w:rsid w:val="005848A7"/>
    <w:rsid w:val="005932A8"/>
    <w:rsid w:val="005A39A8"/>
    <w:rsid w:val="005A5670"/>
    <w:rsid w:val="005A56DC"/>
    <w:rsid w:val="005A6DF8"/>
    <w:rsid w:val="005B37BE"/>
    <w:rsid w:val="005D2AFE"/>
    <w:rsid w:val="005D6360"/>
    <w:rsid w:val="005D7C2B"/>
    <w:rsid w:val="005E18C8"/>
    <w:rsid w:val="005F1BB3"/>
    <w:rsid w:val="005F3E7A"/>
    <w:rsid w:val="00602597"/>
    <w:rsid w:val="00635A05"/>
    <w:rsid w:val="00643CC8"/>
    <w:rsid w:val="006448A2"/>
    <w:rsid w:val="0064495D"/>
    <w:rsid w:val="00650D6E"/>
    <w:rsid w:val="0065156E"/>
    <w:rsid w:val="00666C12"/>
    <w:rsid w:val="006A3209"/>
    <w:rsid w:val="006A4B8E"/>
    <w:rsid w:val="006A6333"/>
    <w:rsid w:val="006B2E36"/>
    <w:rsid w:val="006C658E"/>
    <w:rsid w:val="006D21C9"/>
    <w:rsid w:val="006E5C68"/>
    <w:rsid w:val="006F1880"/>
    <w:rsid w:val="00701C44"/>
    <w:rsid w:val="00714C55"/>
    <w:rsid w:val="007247D5"/>
    <w:rsid w:val="00726F43"/>
    <w:rsid w:val="00731627"/>
    <w:rsid w:val="00731B40"/>
    <w:rsid w:val="0074514C"/>
    <w:rsid w:val="00746E36"/>
    <w:rsid w:val="00752417"/>
    <w:rsid w:val="00761AFF"/>
    <w:rsid w:val="00775A24"/>
    <w:rsid w:val="007944AA"/>
    <w:rsid w:val="00795EA9"/>
    <w:rsid w:val="007B7156"/>
    <w:rsid w:val="007C3487"/>
    <w:rsid w:val="007C3BC9"/>
    <w:rsid w:val="007D07EE"/>
    <w:rsid w:val="007D2A74"/>
    <w:rsid w:val="007D2FB4"/>
    <w:rsid w:val="007D4455"/>
    <w:rsid w:val="007E313A"/>
    <w:rsid w:val="007E78AD"/>
    <w:rsid w:val="007F0044"/>
    <w:rsid w:val="00810581"/>
    <w:rsid w:val="008113B5"/>
    <w:rsid w:val="00817DD8"/>
    <w:rsid w:val="00823FA0"/>
    <w:rsid w:val="0082730F"/>
    <w:rsid w:val="00831C29"/>
    <w:rsid w:val="0083424D"/>
    <w:rsid w:val="00840DB6"/>
    <w:rsid w:val="00842F93"/>
    <w:rsid w:val="00847B4E"/>
    <w:rsid w:val="0085259C"/>
    <w:rsid w:val="0087459A"/>
    <w:rsid w:val="00883E28"/>
    <w:rsid w:val="0088568F"/>
    <w:rsid w:val="00885FD8"/>
    <w:rsid w:val="00891E28"/>
    <w:rsid w:val="00895B5B"/>
    <w:rsid w:val="008A016F"/>
    <w:rsid w:val="008A431F"/>
    <w:rsid w:val="008C3D0C"/>
    <w:rsid w:val="008C7C9F"/>
    <w:rsid w:val="008D5F70"/>
    <w:rsid w:val="008E2C87"/>
    <w:rsid w:val="008E7203"/>
    <w:rsid w:val="008F44D3"/>
    <w:rsid w:val="0091766D"/>
    <w:rsid w:val="009273DF"/>
    <w:rsid w:val="00933F3D"/>
    <w:rsid w:val="0093625A"/>
    <w:rsid w:val="00941CBE"/>
    <w:rsid w:val="00945FA8"/>
    <w:rsid w:val="0094721C"/>
    <w:rsid w:val="00972F64"/>
    <w:rsid w:val="0097378D"/>
    <w:rsid w:val="009747F6"/>
    <w:rsid w:val="009749B2"/>
    <w:rsid w:val="0099491D"/>
    <w:rsid w:val="009A0CB0"/>
    <w:rsid w:val="009B2573"/>
    <w:rsid w:val="009B5A93"/>
    <w:rsid w:val="009C6462"/>
    <w:rsid w:val="009E2DCD"/>
    <w:rsid w:val="009E37B6"/>
    <w:rsid w:val="009E3944"/>
    <w:rsid w:val="009E7E60"/>
    <w:rsid w:val="009F44C6"/>
    <w:rsid w:val="009F5A9D"/>
    <w:rsid w:val="009F5F61"/>
    <w:rsid w:val="00A1414C"/>
    <w:rsid w:val="00A1447A"/>
    <w:rsid w:val="00A341F7"/>
    <w:rsid w:val="00A35C1D"/>
    <w:rsid w:val="00A54A9F"/>
    <w:rsid w:val="00A56644"/>
    <w:rsid w:val="00A572EC"/>
    <w:rsid w:val="00A6250D"/>
    <w:rsid w:val="00A66963"/>
    <w:rsid w:val="00A83A94"/>
    <w:rsid w:val="00A8469D"/>
    <w:rsid w:val="00A85E01"/>
    <w:rsid w:val="00A922BD"/>
    <w:rsid w:val="00A932F0"/>
    <w:rsid w:val="00A93F07"/>
    <w:rsid w:val="00AA409D"/>
    <w:rsid w:val="00AA68CA"/>
    <w:rsid w:val="00AB2F3C"/>
    <w:rsid w:val="00AB7C68"/>
    <w:rsid w:val="00AD0CA0"/>
    <w:rsid w:val="00AD178E"/>
    <w:rsid w:val="00AD53BC"/>
    <w:rsid w:val="00B0485A"/>
    <w:rsid w:val="00B04DA4"/>
    <w:rsid w:val="00B24897"/>
    <w:rsid w:val="00B27CAD"/>
    <w:rsid w:val="00B351F6"/>
    <w:rsid w:val="00B426D7"/>
    <w:rsid w:val="00B459E7"/>
    <w:rsid w:val="00B46933"/>
    <w:rsid w:val="00B5133B"/>
    <w:rsid w:val="00B63FEB"/>
    <w:rsid w:val="00B645A8"/>
    <w:rsid w:val="00BA2BCE"/>
    <w:rsid w:val="00BA2BD5"/>
    <w:rsid w:val="00BA3713"/>
    <w:rsid w:val="00BA743D"/>
    <w:rsid w:val="00BB00BA"/>
    <w:rsid w:val="00BB1F07"/>
    <w:rsid w:val="00BB29B6"/>
    <w:rsid w:val="00BB57F6"/>
    <w:rsid w:val="00BB6BE8"/>
    <w:rsid w:val="00BC29B0"/>
    <w:rsid w:val="00BC5CC4"/>
    <w:rsid w:val="00BD40A1"/>
    <w:rsid w:val="00BE074B"/>
    <w:rsid w:val="00BE39FA"/>
    <w:rsid w:val="00BE41A4"/>
    <w:rsid w:val="00BE6DB3"/>
    <w:rsid w:val="00BF744D"/>
    <w:rsid w:val="00C03A4A"/>
    <w:rsid w:val="00C05FC8"/>
    <w:rsid w:val="00C13B3F"/>
    <w:rsid w:val="00C362E2"/>
    <w:rsid w:val="00C410BE"/>
    <w:rsid w:val="00C4667B"/>
    <w:rsid w:val="00C532A8"/>
    <w:rsid w:val="00C53848"/>
    <w:rsid w:val="00C61E22"/>
    <w:rsid w:val="00C75D13"/>
    <w:rsid w:val="00C81CCE"/>
    <w:rsid w:val="00C84CEF"/>
    <w:rsid w:val="00C8608D"/>
    <w:rsid w:val="00C870A9"/>
    <w:rsid w:val="00C91FA5"/>
    <w:rsid w:val="00C94B3A"/>
    <w:rsid w:val="00CB7221"/>
    <w:rsid w:val="00CB7FF4"/>
    <w:rsid w:val="00CD0EA0"/>
    <w:rsid w:val="00CD5F1A"/>
    <w:rsid w:val="00CF0542"/>
    <w:rsid w:val="00CF6C36"/>
    <w:rsid w:val="00CF76E8"/>
    <w:rsid w:val="00D1229D"/>
    <w:rsid w:val="00D15CDD"/>
    <w:rsid w:val="00D22980"/>
    <w:rsid w:val="00D22E3C"/>
    <w:rsid w:val="00D24A84"/>
    <w:rsid w:val="00D24BA6"/>
    <w:rsid w:val="00D25550"/>
    <w:rsid w:val="00D4155D"/>
    <w:rsid w:val="00D432C6"/>
    <w:rsid w:val="00D51C68"/>
    <w:rsid w:val="00D57B09"/>
    <w:rsid w:val="00D60A83"/>
    <w:rsid w:val="00D64A4D"/>
    <w:rsid w:val="00D67F4D"/>
    <w:rsid w:val="00D746DE"/>
    <w:rsid w:val="00D76BAD"/>
    <w:rsid w:val="00D94CF5"/>
    <w:rsid w:val="00DA56EC"/>
    <w:rsid w:val="00DA622E"/>
    <w:rsid w:val="00DB006E"/>
    <w:rsid w:val="00DB1705"/>
    <w:rsid w:val="00DB41F6"/>
    <w:rsid w:val="00DB5CCB"/>
    <w:rsid w:val="00DC0B66"/>
    <w:rsid w:val="00DC5C15"/>
    <w:rsid w:val="00DC643B"/>
    <w:rsid w:val="00DD7703"/>
    <w:rsid w:val="00DE5C42"/>
    <w:rsid w:val="00DF3A25"/>
    <w:rsid w:val="00E067BA"/>
    <w:rsid w:val="00E30670"/>
    <w:rsid w:val="00E34BCA"/>
    <w:rsid w:val="00E404F4"/>
    <w:rsid w:val="00E409EA"/>
    <w:rsid w:val="00E43359"/>
    <w:rsid w:val="00E45D35"/>
    <w:rsid w:val="00E5193A"/>
    <w:rsid w:val="00E73F81"/>
    <w:rsid w:val="00E8312F"/>
    <w:rsid w:val="00E877DF"/>
    <w:rsid w:val="00EA1DD6"/>
    <w:rsid w:val="00EA36C0"/>
    <w:rsid w:val="00EA4DFC"/>
    <w:rsid w:val="00EC02F0"/>
    <w:rsid w:val="00EC084E"/>
    <w:rsid w:val="00EC37C9"/>
    <w:rsid w:val="00EC5CF5"/>
    <w:rsid w:val="00ED3DF8"/>
    <w:rsid w:val="00ED403C"/>
    <w:rsid w:val="00ED55B3"/>
    <w:rsid w:val="00EE1CC2"/>
    <w:rsid w:val="00EE2486"/>
    <w:rsid w:val="00EF56CB"/>
    <w:rsid w:val="00F1418C"/>
    <w:rsid w:val="00F147CB"/>
    <w:rsid w:val="00F148F2"/>
    <w:rsid w:val="00F207F6"/>
    <w:rsid w:val="00F234CD"/>
    <w:rsid w:val="00F44225"/>
    <w:rsid w:val="00F4632D"/>
    <w:rsid w:val="00F472E9"/>
    <w:rsid w:val="00F54EC2"/>
    <w:rsid w:val="00F5689C"/>
    <w:rsid w:val="00F5775F"/>
    <w:rsid w:val="00F57875"/>
    <w:rsid w:val="00F61E5F"/>
    <w:rsid w:val="00F6315D"/>
    <w:rsid w:val="00F701F5"/>
    <w:rsid w:val="00F7039C"/>
    <w:rsid w:val="00F857F4"/>
    <w:rsid w:val="00F944B1"/>
    <w:rsid w:val="00FD2150"/>
    <w:rsid w:val="00FD224A"/>
    <w:rsid w:val="00FD3626"/>
    <w:rsid w:val="00FD7900"/>
    <w:rsid w:val="00FE0B49"/>
    <w:rsid w:val="00FE3BBB"/>
    <w:rsid w:val="00FF2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6A124"/>
  <w15:chartTrackingRefBased/>
  <w15:docId w15:val="{AEF26796-43E0-4A12-BACB-23908FF4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6F2"/>
    <w:rPr>
      <w:color w:val="0563C1" w:themeColor="hyperlink"/>
      <w:u w:val="single"/>
    </w:rPr>
  </w:style>
  <w:style w:type="character" w:styleId="UnresolvedMention">
    <w:name w:val="Unresolved Mention"/>
    <w:basedOn w:val="DefaultParagraphFont"/>
    <w:uiPriority w:val="99"/>
    <w:semiHidden/>
    <w:unhideWhenUsed/>
    <w:rsid w:val="004D66F2"/>
    <w:rPr>
      <w:color w:val="605E5C"/>
      <w:shd w:val="clear" w:color="auto" w:fill="E1DFDD"/>
    </w:rPr>
  </w:style>
  <w:style w:type="table" w:styleId="TableGrid">
    <w:name w:val="Table Grid"/>
    <w:basedOn w:val="TableNormal"/>
    <w:uiPriority w:val="39"/>
    <w:rsid w:val="004D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1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F88"/>
  </w:style>
  <w:style w:type="paragraph" w:styleId="Footer">
    <w:name w:val="footer"/>
    <w:basedOn w:val="Normal"/>
    <w:link w:val="FooterChar"/>
    <w:uiPriority w:val="99"/>
    <w:unhideWhenUsed/>
    <w:rsid w:val="00091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F88"/>
  </w:style>
  <w:style w:type="paragraph" w:styleId="ListParagraph">
    <w:name w:val="List Paragraph"/>
    <w:basedOn w:val="Normal"/>
    <w:uiPriority w:val="34"/>
    <w:qFormat/>
    <w:rsid w:val="000913C7"/>
    <w:pPr>
      <w:spacing w:after="200" w:line="276" w:lineRule="auto"/>
      <w:ind w:left="720"/>
      <w:contextualSpacing/>
    </w:pPr>
    <w:rPr>
      <w:kern w:val="0"/>
      <w14:ligatures w14:val="none"/>
    </w:rPr>
  </w:style>
  <w:style w:type="paragraph" w:styleId="Revision">
    <w:name w:val="Revision"/>
    <w:hidden/>
    <w:uiPriority w:val="99"/>
    <w:semiHidden/>
    <w:rsid w:val="00F1418C"/>
    <w:pPr>
      <w:spacing w:after="0" w:line="240" w:lineRule="auto"/>
    </w:pPr>
  </w:style>
  <w:style w:type="character" w:styleId="CommentReference">
    <w:name w:val="annotation reference"/>
    <w:basedOn w:val="DefaultParagraphFont"/>
    <w:uiPriority w:val="99"/>
    <w:semiHidden/>
    <w:unhideWhenUsed/>
    <w:rsid w:val="0032118D"/>
    <w:rPr>
      <w:sz w:val="16"/>
      <w:szCs w:val="16"/>
    </w:rPr>
  </w:style>
  <w:style w:type="paragraph" w:styleId="CommentText">
    <w:name w:val="annotation text"/>
    <w:basedOn w:val="Normal"/>
    <w:link w:val="CommentTextChar"/>
    <w:uiPriority w:val="99"/>
    <w:unhideWhenUsed/>
    <w:rsid w:val="0032118D"/>
    <w:pPr>
      <w:spacing w:line="240" w:lineRule="auto"/>
    </w:pPr>
    <w:rPr>
      <w:sz w:val="20"/>
      <w:szCs w:val="20"/>
    </w:rPr>
  </w:style>
  <w:style w:type="character" w:customStyle="1" w:styleId="CommentTextChar">
    <w:name w:val="Comment Text Char"/>
    <w:basedOn w:val="DefaultParagraphFont"/>
    <w:link w:val="CommentText"/>
    <w:uiPriority w:val="99"/>
    <w:rsid w:val="0032118D"/>
    <w:rPr>
      <w:sz w:val="20"/>
      <w:szCs w:val="20"/>
    </w:rPr>
  </w:style>
  <w:style w:type="paragraph" w:styleId="CommentSubject">
    <w:name w:val="annotation subject"/>
    <w:basedOn w:val="CommentText"/>
    <w:next w:val="CommentText"/>
    <w:link w:val="CommentSubjectChar"/>
    <w:uiPriority w:val="99"/>
    <w:semiHidden/>
    <w:unhideWhenUsed/>
    <w:rsid w:val="0032118D"/>
    <w:rPr>
      <w:b/>
      <w:bCs/>
    </w:rPr>
  </w:style>
  <w:style w:type="character" w:customStyle="1" w:styleId="CommentSubjectChar">
    <w:name w:val="Comment Subject Char"/>
    <w:basedOn w:val="CommentTextChar"/>
    <w:link w:val="CommentSubject"/>
    <w:uiPriority w:val="99"/>
    <w:semiHidden/>
    <w:rsid w:val="003211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47614">
      <w:bodyDiv w:val="1"/>
      <w:marLeft w:val="0"/>
      <w:marRight w:val="0"/>
      <w:marTop w:val="0"/>
      <w:marBottom w:val="0"/>
      <w:divBdr>
        <w:top w:val="none" w:sz="0" w:space="0" w:color="auto"/>
        <w:left w:val="none" w:sz="0" w:space="0" w:color="auto"/>
        <w:bottom w:val="none" w:sz="0" w:space="0" w:color="auto"/>
        <w:right w:val="none" w:sz="0" w:space="0" w:color="auto"/>
      </w:divBdr>
    </w:div>
    <w:div w:id="104447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ha-direct.voa.gov.uk/search.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lmshouses.org/model-policies-and-templat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mshouses.org/standards-of-almshouse-management-2023/" TargetMode="External"/><Relationship Id="rId5" Type="http://schemas.openxmlformats.org/officeDocument/2006/relationships/styles" Target="styles.xml"/><Relationship Id="rId15" Type="http://schemas.openxmlformats.org/officeDocument/2006/relationships/hyperlink" Target="mailto:finance@almshouses.org" TargetMode="External"/><Relationship Id="rId10" Type="http://schemas.openxmlformats.org/officeDocument/2006/relationships/hyperlink" Target="https://www.almshouses.org/standards-of-almshouse-management-2023/"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current-registered-providers-of-social-hous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20" ma:contentTypeDescription="Create a new document." ma:contentTypeScope="" ma:versionID="409486b96909be8be04586dd77ad0e4a">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e98653a7caf17162b72a342b8bb4a994"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9A037-6C4E-4DF5-AF99-F2ADF4253880}">
  <ds:schemaRefs>
    <ds:schemaRef ds:uri="http://schemas.microsoft.com/office/2006/metadata/properties"/>
    <ds:schemaRef ds:uri="http://schemas.microsoft.com/office/infopath/2007/PartnerControls"/>
    <ds:schemaRef ds:uri="c28f8d68-3d2f-436c-972c-db53eb1b5bec"/>
    <ds:schemaRef ds:uri="5d174391-8c6d-4144-a5eb-17d62e3ad863"/>
  </ds:schemaRefs>
</ds:datastoreItem>
</file>

<file path=customXml/itemProps2.xml><?xml version="1.0" encoding="utf-8"?>
<ds:datastoreItem xmlns:ds="http://schemas.openxmlformats.org/officeDocument/2006/customXml" ds:itemID="{9CFCCC35-B457-4697-9810-25A4CE302569}">
  <ds:schemaRefs>
    <ds:schemaRef ds:uri="http://schemas.microsoft.com/sharepoint/v3/contenttype/forms"/>
  </ds:schemaRefs>
</ds:datastoreItem>
</file>

<file path=customXml/itemProps3.xml><?xml version="1.0" encoding="utf-8"?>
<ds:datastoreItem xmlns:ds="http://schemas.openxmlformats.org/officeDocument/2006/customXml" ds:itemID="{8D73BB52-F544-4212-B6A3-C7CB15183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 Hall</dc:creator>
  <cp:keywords/>
  <dc:description/>
  <cp:lastModifiedBy>Fenella Hall</cp:lastModifiedBy>
  <cp:revision>3</cp:revision>
  <cp:lastPrinted>2025-09-30T06:40:00Z</cp:lastPrinted>
  <dcterms:created xsi:type="dcterms:W3CDTF">2025-10-22T07:01:00Z</dcterms:created>
  <dcterms:modified xsi:type="dcterms:W3CDTF">2025-10-22T07:02:00Z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y fmtid="{D5CDD505-2E9C-101B-9397-08002B2CF9AE}" pid="3" name="MediaServiceImageTags">
    <vt:lpwstr/>
  </property>
</Properties>
</file>